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p w:rsidR="002B2E53" w:rsidRPr="003F6C9E" w:rsidRDefault="00C55BF8" w:rsidP="003F6C9E">
      <w:pPr>
        <w:spacing w:line="500" w:lineRule="exact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中華民國107年11</w:t>
      </w:r>
      <w:r w:rsidR="007B5F4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proofErr w:type="gramStart"/>
      <w:r w:rsidR="007B5F4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3F6C9E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號函訂</w:t>
      </w:r>
      <w:proofErr w:type="gramEnd"/>
      <w:r w:rsidR="007B525C" w:rsidRPr="003F6C9E">
        <w:rPr>
          <w:rFonts w:ascii="標楷體" w:eastAsia="標楷體" w:hAnsi="標楷體" w:hint="eastAsia"/>
          <w:color w:val="000000" w:themeColor="text1"/>
          <w:sz w:val="20"/>
          <w:szCs w:val="28"/>
        </w:rPr>
        <w:t>定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者，</w:t>
      </w:r>
    </w:p>
    <w:p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薦參加傑出女性公務員選拔：</w:t>
      </w:r>
    </w:p>
    <w:p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  <w:bookmarkStart w:id="0" w:name="_GoBack"/>
      <w:bookmarkEnd w:id="0"/>
    </w:p>
    <w:p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採行確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有成效。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者，不得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薦為傑出女性公務員：</w:t>
      </w:r>
    </w:p>
    <w:p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年內，曾受刑事處分、懲戒處分、彈劾、糾舉或平時考核</w:t>
      </w:r>
    </w:p>
    <w:p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年內年終考績（成）、成績考核曾列乙等或相當等次以下。</w:t>
      </w:r>
    </w:p>
    <w:p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薦傑出女性公務員之原則如下：</w:t>
      </w:r>
    </w:p>
    <w:p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年內未曾獲選本府模範公務人員或傑出女性公務員者為</w:t>
      </w:r>
    </w:p>
    <w:p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（如附表一）及事蹟簡介（如附表二），於每年十二月三十一日前提報本府核辦。本府二級機關及學校之人員，應由本府各一級機關統籌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薦提報。</w:t>
      </w:r>
    </w:p>
    <w:p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本府傑出女性公務員選拔，由本府秘書長召集副秘書長、法務局局長、</w:t>
      </w:r>
    </w:p>
    <w:p w:rsidR="0021170B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人事處處長、政風處處長及研究發展考核委員會主任委員組成專案小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組審議，並得邀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請外部專家學者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列席諮詢。</w:t>
      </w:r>
    </w:p>
    <w:p w:rsidR="00A8316F" w:rsidRPr="0005086E" w:rsidRDefault="0021170B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前項審議結果由本府人事處簽陳市長核定，核定人數以不超過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薦人數之百分之二十為限。</w:t>
      </w:r>
    </w:p>
    <w:p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前項公假三日，應於通知核定次月起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一年內請畢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薦人員，在本府核定前，如有職務異動或意外事件</w:t>
      </w:r>
    </w:p>
    <w:p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或其他不適宜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薦之情事者，應報請本府撤回其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薦。</w:t>
      </w:r>
    </w:p>
    <w:p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薦人員經核定為傑出女性公務員，如嗣後發現有申報</w:t>
      </w:r>
    </w:p>
    <w:p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或其他不適宜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薦之情事者，應由原</w:t>
      </w:r>
      <w:proofErr w:type="gramStart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薦之主管機關報請本府撤銷其資格，其已受領之獎牌及禮券應予追繳，尚未實施之公假不予實施。</w:t>
      </w:r>
    </w:p>
    <w:p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:rsidR="00632610" w:rsidRPr="0005086E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sectPr w:rsidR="00632610" w:rsidRPr="0005086E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3A4" w:rsidRDefault="004603A4" w:rsidP="002B2E53">
      <w:r>
        <w:separator/>
      </w:r>
    </w:p>
  </w:endnote>
  <w:endnote w:type="continuationSeparator" w:id="0">
    <w:p w:rsidR="004603A4" w:rsidRDefault="004603A4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3A4" w:rsidRDefault="004603A4" w:rsidP="002B2E53">
      <w:r>
        <w:separator/>
      </w:r>
    </w:p>
  </w:footnote>
  <w:footnote w:type="continuationSeparator" w:id="0">
    <w:p w:rsidR="004603A4" w:rsidRDefault="004603A4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5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2A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92BDE"/>
    <w:rsid w:val="002B2E53"/>
    <w:rsid w:val="002F5623"/>
    <w:rsid w:val="003362E7"/>
    <w:rsid w:val="003D36B1"/>
    <w:rsid w:val="003F6C9E"/>
    <w:rsid w:val="004100AE"/>
    <w:rsid w:val="004178C1"/>
    <w:rsid w:val="00447E8C"/>
    <w:rsid w:val="004603A4"/>
    <w:rsid w:val="00576098"/>
    <w:rsid w:val="00632610"/>
    <w:rsid w:val="00680604"/>
    <w:rsid w:val="006838EA"/>
    <w:rsid w:val="006855D5"/>
    <w:rsid w:val="006D2A42"/>
    <w:rsid w:val="006E4DAE"/>
    <w:rsid w:val="007B525C"/>
    <w:rsid w:val="007B5F4C"/>
    <w:rsid w:val="0083120D"/>
    <w:rsid w:val="00840D10"/>
    <w:rsid w:val="00880558"/>
    <w:rsid w:val="008D2EB6"/>
    <w:rsid w:val="009A4CD5"/>
    <w:rsid w:val="009D5303"/>
    <w:rsid w:val="00A8316F"/>
    <w:rsid w:val="00B22F5B"/>
    <w:rsid w:val="00BC43ED"/>
    <w:rsid w:val="00C55BF8"/>
    <w:rsid w:val="00C720BE"/>
    <w:rsid w:val="00CF2560"/>
    <w:rsid w:val="00D40CAF"/>
    <w:rsid w:val="00D849E9"/>
    <w:rsid w:val="00E50BF2"/>
    <w:rsid w:val="00F2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CF2EC-5A37-4BAB-8F6A-94E45A838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4</DocSecurity>
  <Lines>7</Lines>
  <Paragraphs>2</Paragraphs>
  <ScaleCrop>false</ScaleCrop>
  <Company>SYNNEX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林芳儀</dc:creator>
  <cp:lastModifiedBy>林芳儀</cp:lastModifiedBy>
  <cp:revision>2</cp:revision>
  <cp:lastPrinted>2018-10-11T07:27:00Z</cp:lastPrinted>
  <dcterms:created xsi:type="dcterms:W3CDTF">2018-11-23T02:01:00Z</dcterms:created>
  <dcterms:modified xsi:type="dcterms:W3CDTF">2018-11-23T02:01:00Z</dcterms:modified>
</cp:coreProperties>
</file>