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53" w:rsidRPr="009D5303" w:rsidRDefault="00C55BF8" w:rsidP="003F6C9E">
      <w:pPr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40"/>
        </w:rPr>
      </w:pPr>
      <w:r w:rsidRPr="009D5303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桃園市政府表揚傑出女性公務員實施要點</w:t>
      </w:r>
    </w:p>
    <w:p w:rsidR="002B2E53" w:rsidRPr="003F6C9E" w:rsidRDefault="00C55BF8" w:rsidP="003F6C9E">
      <w:pPr>
        <w:spacing w:line="500" w:lineRule="exact"/>
        <w:jc w:val="right"/>
        <w:rPr>
          <w:rFonts w:ascii="標楷體" w:eastAsia="標楷體" w:hAnsi="標楷體"/>
          <w:color w:val="000000" w:themeColor="text1"/>
          <w:sz w:val="20"/>
          <w:szCs w:val="28"/>
        </w:rPr>
      </w:pPr>
      <w:r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中華民國107年11</w:t>
      </w:r>
      <w:r w:rsidR="007B5F4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月</w:t>
      </w:r>
      <w:r w:rsidR="00071F1C">
        <w:rPr>
          <w:rFonts w:ascii="標楷體" w:eastAsia="標楷體" w:hAnsi="標楷體"/>
          <w:color w:val="000000" w:themeColor="text1"/>
          <w:sz w:val="20"/>
          <w:szCs w:val="28"/>
        </w:rPr>
        <w:t>21</w:t>
      </w:r>
      <w:r w:rsidR="00880558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日</w:t>
      </w:r>
      <w:proofErr w:type="gramStart"/>
      <w:r w:rsidR="007B5F4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府人考字第</w:t>
      </w:r>
      <w:r w:rsidR="007B5F4C" w:rsidRPr="003F6C9E">
        <w:rPr>
          <w:rFonts w:ascii="標楷體" w:eastAsia="標楷體" w:hAnsi="標楷體"/>
          <w:color w:val="000000" w:themeColor="text1"/>
          <w:sz w:val="20"/>
          <w:szCs w:val="28"/>
        </w:rPr>
        <w:t>1070284097</w:t>
      </w:r>
      <w:r w:rsidR="007B525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號函訂</w:t>
      </w:r>
      <w:proofErr w:type="gramEnd"/>
      <w:r w:rsidR="007B525C" w:rsidRPr="003F6C9E">
        <w:rPr>
          <w:rFonts w:ascii="標楷體" w:eastAsia="標楷體" w:hAnsi="標楷體" w:hint="eastAsia"/>
          <w:color w:val="000000" w:themeColor="text1"/>
          <w:sz w:val="20"/>
          <w:szCs w:val="28"/>
        </w:rPr>
        <w:t>定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桃園市政府（以下簡稱本府）為表揚所屬女性公務員對機關及社會之</w:t>
      </w:r>
    </w:p>
    <w:p w:rsidR="007B525C" w:rsidRPr="0005086E" w:rsidRDefault="002F5623" w:rsidP="003F6C9E">
      <w:pPr>
        <w:pStyle w:val="a7"/>
        <w:spacing w:line="500" w:lineRule="exact"/>
        <w:ind w:leftChars="227" w:left="545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傑出貢獻，特訂定本要點。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本要點適用對象為本府所屬各機關學校（以下簡稱各機關學校）之女</w:t>
      </w:r>
    </w:p>
    <w:p w:rsidR="00A8316F" w:rsidRPr="0005086E" w:rsidRDefault="002F5623" w:rsidP="003F6C9E">
      <w:pPr>
        <w:pStyle w:val="a7"/>
        <w:spacing w:line="500" w:lineRule="exact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性公務人員及約聘僱人員。</w:t>
      </w:r>
    </w:p>
    <w:p w:rsidR="00C720BE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各機關學校人員連續任職滿一年以上，且具有下列各款事蹟之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</w:t>
      </w:r>
    </w:p>
    <w:p w:rsidR="001507CE" w:rsidRPr="0005086E" w:rsidRDefault="002F5623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得被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薦參加傑出女性公務員選拔：</w:t>
      </w:r>
    </w:p>
    <w:p w:rsidR="00C720BE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8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辦理為民服務業務，有創新、感動服務事蹟或曾獲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中央機關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獎項，</w:t>
      </w:r>
      <w:bookmarkStart w:id="0" w:name="_GoBack"/>
      <w:bookmarkEnd w:id="0"/>
    </w:p>
    <w:p w:rsidR="002F5623" w:rsidRPr="0005086E" w:rsidRDefault="002F5623" w:rsidP="003F6C9E">
      <w:pPr>
        <w:pStyle w:val="a7"/>
        <w:spacing w:line="500" w:lineRule="exact"/>
        <w:ind w:leftChars="0"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有傑出表現。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執行重大專案計畫，圓滿達成任務，績效優異。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對主辦業務提出革新方案或研究發展成果，經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採行確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有成效。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積極投入社會公益、國家建設，有重大貢獻。</w:t>
      </w:r>
    </w:p>
    <w:p w:rsidR="002F5623" w:rsidRPr="0005086E" w:rsidRDefault="002F5623" w:rsidP="003F6C9E">
      <w:pPr>
        <w:pStyle w:val="a7"/>
        <w:numPr>
          <w:ilvl w:val="0"/>
          <w:numId w:val="5"/>
        </w:numPr>
        <w:spacing w:line="500" w:lineRule="exact"/>
        <w:ind w:leftChars="0" w:firstLine="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其他特殊優良事蹟，足為公務員表率。</w:t>
      </w:r>
    </w:p>
    <w:p w:rsidR="002B2E53" w:rsidRPr="0005086E" w:rsidRDefault="002F5623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有下列情形之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者，不得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薦為傑出女性公務員：</w:t>
      </w:r>
    </w:p>
    <w:p w:rsidR="00C720BE" w:rsidRPr="0005086E" w:rsidRDefault="00E50BF2" w:rsidP="003F6C9E">
      <w:pPr>
        <w:pStyle w:val="a7"/>
        <w:numPr>
          <w:ilvl w:val="0"/>
          <w:numId w:val="6"/>
        </w:numPr>
        <w:spacing w:line="500" w:lineRule="exact"/>
        <w:ind w:leftChars="0" w:firstLine="66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年內，曾受刑事處分、懲戒處分、彈劾、糾舉或平時考核</w:t>
      </w:r>
    </w:p>
    <w:p w:rsidR="00E50BF2" w:rsidRPr="0005086E" w:rsidRDefault="00E50BF2" w:rsidP="003F6C9E">
      <w:pPr>
        <w:spacing w:line="500" w:lineRule="exact"/>
        <w:ind w:left="11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受申誡以上之處分。</w:t>
      </w:r>
    </w:p>
    <w:p w:rsidR="00E50BF2" w:rsidRPr="0005086E" w:rsidRDefault="00E50BF2" w:rsidP="006E4DAE">
      <w:pPr>
        <w:pStyle w:val="a7"/>
        <w:numPr>
          <w:ilvl w:val="0"/>
          <w:numId w:val="6"/>
        </w:numPr>
        <w:spacing w:line="500" w:lineRule="exact"/>
        <w:ind w:leftChars="0" w:rightChars="-60" w:right="-144" w:firstLine="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年內年終考績（成）、成績考核曾列乙等或相當等次以下。</w:t>
      </w:r>
    </w:p>
    <w:p w:rsidR="00E50BF2" w:rsidRPr="0005086E" w:rsidRDefault="00E50BF2" w:rsidP="003F6C9E">
      <w:pPr>
        <w:pStyle w:val="a7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薦傑出女性公務員之原則如下：</w:t>
      </w:r>
    </w:p>
    <w:p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94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以最近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年內未曾獲選本府模範公務人員或傑出女性公務員者為</w:t>
      </w:r>
    </w:p>
    <w:p w:rsidR="002B2E53" w:rsidRPr="0005086E" w:rsidRDefault="00E50BF2" w:rsidP="003F6C9E">
      <w:pPr>
        <w:pStyle w:val="a7"/>
        <w:spacing w:line="500" w:lineRule="exact"/>
        <w:ind w:leftChars="0" w:left="11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優先。</w:t>
      </w:r>
    </w:p>
    <w:p w:rsidR="00C720BE" w:rsidRPr="0005086E" w:rsidRDefault="00E50BF2" w:rsidP="003F6C9E">
      <w:pPr>
        <w:pStyle w:val="a7"/>
        <w:numPr>
          <w:ilvl w:val="0"/>
          <w:numId w:val="7"/>
        </w:numPr>
        <w:spacing w:line="500" w:lineRule="exact"/>
        <w:ind w:leftChars="0" w:firstLine="1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本府各一級機關（含所屬機關或學校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推薦名額以三名為限；無</w:t>
      </w:r>
    </w:p>
    <w:p w:rsidR="002B2E53" w:rsidRPr="0005086E" w:rsidRDefault="00E50BF2" w:rsidP="003F6C9E">
      <w:pPr>
        <w:pStyle w:val="a7"/>
        <w:spacing w:line="500" w:lineRule="exact"/>
        <w:ind w:leftChars="0" w:left="11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所屬機關者及區公所以一名為限。</w:t>
      </w:r>
    </w:p>
    <w:p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本府各一級機關及區公所就符合傑出女性公務員表揚條件者，應檢具</w:t>
      </w:r>
    </w:p>
    <w:p w:rsidR="002B2E53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遴薦表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（如附表一）及事蹟簡介（如附表二），於每年十二月三十一日前提報本府核辦。本府二級機關及學校之人員，應由本府各一級機關統籌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薦提報。</w:t>
      </w:r>
    </w:p>
    <w:p w:rsidR="00C720BE" w:rsidRPr="0005086E" w:rsidRDefault="0021170B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本府傑出女性公務員選拔，由本府秘書長召集副秘書長、法務局局長、</w:t>
      </w:r>
    </w:p>
    <w:p w:rsidR="0021170B" w:rsidRPr="0005086E" w:rsidRDefault="0021170B" w:rsidP="003F6C9E">
      <w:pPr>
        <w:pStyle w:val="a7"/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人事處處長、政風處處長及研究發展考核委員會主任委員組成專案小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組審議，並得邀</w:t>
      </w:r>
      <w:r w:rsidRPr="0005086E">
        <w:rPr>
          <w:rFonts w:ascii="標楷體" w:eastAsia="標楷體" w:hAnsi="標楷體"/>
          <w:color w:val="000000" w:themeColor="text1"/>
          <w:sz w:val="28"/>
          <w:szCs w:val="28"/>
        </w:rPr>
        <w:t>請外部專家學者</w:t>
      </w: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列席諮詢。</w:t>
      </w:r>
    </w:p>
    <w:p w:rsidR="00A8316F" w:rsidRPr="0005086E" w:rsidRDefault="0021170B" w:rsidP="003F6C9E">
      <w:pPr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前項審議結果由本府人事處簽陳市長核定，核定人數以不超過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薦人數之百分之二十為限。</w:t>
      </w:r>
    </w:p>
    <w:p w:rsidR="00C720BE" w:rsidRPr="0005086E" w:rsidRDefault="00CF2560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本府核定之傑出女性公務員，將於婦女節（三月八日）前公開表揚，</w:t>
      </w:r>
    </w:p>
    <w:p w:rsidR="00CF2560" w:rsidRPr="0005086E" w:rsidRDefault="00CF2560" w:rsidP="003F6C9E">
      <w:pPr>
        <w:pStyle w:val="a7"/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頒給獎牌一面及新臺幣五千元禮券，並給予公假三日。</w:t>
      </w:r>
    </w:p>
    <w:p w:rsidR="00A8316F" w:rsidRPr="0005086E" w:rsidRDefault="00CF2560" w:rsidP="003F6C9E">
      <w:pPr>
        <w:spacing w:line="500" w:lineRule="exact"/>
        <w:ind w:leftChars="233" w:left="559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前項公假三日，應於通知核定次月起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一年內請畢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720BE" w:rsidRPr="0005086E" w:rsidRDefault="00292BDE" w:rsidP="003F6C9E">
      <w:pPr>
        <w:pStyle w:val="a7"/>
        <w:numPr>
          <w:ilvl w:val="0"/>
          <w:numId w:val="3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各機關學校對所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薦人員，在本府核定前，如有職務異動或意外事件</w:t>
      </w:r>
    </w:p>
    <w:p w:rsidR="00C720BE" w:rsidRPr="0005086E" w:rsidRDefault="00292BDE" w:rsidP="003F6C9E">
      <w:pPr>
        <w:pStyle w:val="a7"/>
        <w:spacing w:line="500" w:lineRule="exact"/>
        <w:ind w:leftChars="239" w:left="5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發生者，應隨時函知本府；如嗣後發現有申報不實、第四點情形之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薦之情事者，應報請本府撤回其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薦。</w:t>
      </w:r>
    </w:p>
    <w:p w:rsidR="00840D10" w:rsidRPr="0005086E" w:rsidRDefault="00292BDE" w:rsidP="003F6C9E">
      <w:pPr>
        <w:pStyle w:val="a7"/>
        <w:numPr>
          <w:ilvl w:val="0"/>
          <w:numId w:val="10"/>
        </w:numPr>
        <w:spacing w:line="500" w:lineRule="exact"/>
        <w:ind w:leftChars="0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各機關學校被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薦人員經核定為傑出女性公務員，如嗣後發現有申報</w:t>
      </w:r>
    </w:p>
    <w:p w:rsidR="006838EA" w:rsidRPr="0005086E" w:rsidRDefault="00292BDE" w:rsidP="003F6C9E">
      <w:pPr>
        <w:spacing w:line="500" w:lineRule="exact"/>
        <w:ind w:leftChars="233" w:left="5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不實、第四點情形之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或其他不適宜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薦之情事者，應由原</w:t>
      </w:r>
      <w:proofErr w:type="gramStart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薦之主管機關報請本府撤銷其資格，其已受領之獎牌及禮券應予追繳，尚未實施之公假不予實施。</w:t>
      </w:r>
    </w:p>
    <w:p w:rsidR="00840D10" w:rsidRPr="0005086E" w:rsidRDefault="00B22F5B" w:rsidP="003F6C9E">
      <w:pPr>
        <w:spacing w:line="5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292BDE"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辦理傑出女性公務員選拔及表揚所需經費，由本府人事處年度相關</w:t>
      </w:r>
    </w:p>
    <w:p w:rsidR="00632610" w:rsidRPr="0005086E" w:rsidRDefault="00292BDE" w:rsidP="003F6C9E">
      <w:pPr>
        <w:spacing w:line="5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5086E">
        <w:rPr>
          <w:rFonts w:ascii="標楷體" w:eastAsia="標楷體" w:hAnsi="標楷體" w:hint="eastAsia"/>
          <w:color w:val="000000" w:themeColor="text1"/>
          <w:sz w:val="28"/>
          <w:szCs w:val="28"/>
        </w:rPr>
        <w:t>預算支應。</w:t>
      </w:r>
    </w:p>
    <w:sectPr w:rsidR="00632610" w:rsidRPr="0005086E" w:rsidSect="0005086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A4" w:rsidRDefault="004603A4" w:rsidP="002B2E53">
      <w:r>
        <w:separator/>
      </w:r>
    </w:p>
  </w:endnote>
  <w:endnote w:type="continuationSeparator" w:id="0">
    <w:p w:rsidR="004603A4" w:rsidRDefault="004603A4" w:rsidP="002B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A4" w:rsidRDefault="004603A4" w:rsidP="002B2E53">
      <w:r>
        <w:separator/>
      </w:r>
    </w:p>
  </w:footnote>
  <w:footnote w:type="continuationSeparator" w:id="0">
    <w:p w:rsidR="004603A4" w:rsidRDefault="004603A4" w:rsidP="002B2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7707"/>
    <w:multiLevelType w:val="hybridMultilevel"/>
    <w:tmpl w:val="686C6542"/>
    <w:lvl w:ilvl="0" w:tplc="84A64DF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2E3F8B"/>
    <w:multiLevelType w:val="hybridMultilevel"/>
    <w:tmpl w:val="85BC0BA2"/>
    <w:lvl w:ilvl="0" w:tplc="1F80E34C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41745A"/>
    <w:multiLevelType w:val="hybridMultilevel"/>
    <w:tmpl w:val="944A4BDA"/>
    <w:lvl w:ilvl="0" w:tplc="81284B1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2D10A48"/>
    <w:multiLevelType w:val="hybridMultilevel"/>
    <w:tmpl w:val="1C486E84"/>
    <w:lvl w:ilvl="0" w:tplc="C14AA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DF011A"/>
    <w:multiLevelType w:val="hybridMultilevel"/>
    <w:tmpl w:val="BCE42930"/>
    <w:lvl w:ilvl="0" w:tplc="62D874BC">
      <w:start w:val="1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8F02BBCA">
      <w:start w:val="1"/>
      <w:numFmt w:val="taiwaneseCountingThousand"/>
      <w:lvlText w:val="（%2）"/>
      <w:lvlJc w:val="left"/>
      <w:pPr>
        <w:ind w:left="124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5">
    <w:nsid w:val="3025376F"/>
    <w:multiLevelType w:val="hybridMultilevel"/>
    <w:tmpl w:val="4B10178C"/>
    <w:lvl w:ilvl="0" w:tplc="2BDA906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03187E"/>
    <w:multiLevelType w:val="hybridMultilevel"/>
    <w:tmpl w:val="5E765E42"/>
    <w:lvl w:ilvl="0" w:tplc="4104950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E32624"/>
    <w:multiLevelType w:val="hybridMultilevel"/>
    <w:tmpl w:val="1E32D760"/>
    <w:lvl w:ilvl="0" w:tplc="175A558A">
      <w:start w:val="10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757508"/>
    <w:multiLevelType w:val="hybridMultilevel"/>
    <w:tmpl w:val="BE905326"/>
    <w:lvl w:ilvl="0" w:tplc="E5F462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FCC1A2E"/>
    <w:multiLevelType w:val="hybridMultilevel"/>
    <w:tmpl w:val="6F880F80"/>
    <w:lvl w:ilvl="0" w:tplc="2FC2ABE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2A"/>
    <w:rsid w:val="0003515A"/>
    <w:rsid w:val="0004388B"/>
    <w:rsid w:val="0005086E"/>
    <w:rsid w:val="00071F1C"/>
    <w:rsid w:val="000B4F51"/>
    <w:rsid w:val="000C1668"/>
    <w:rsid w:val="001507CE"/>
    <w:rsid w:val="001F4EC7"/>
    <w:rsid w:val="0021170B"/>
    <w:rsid w:val="00292BDE"/>
    <w:rsid w:val="002B2E53"/>
    <w:rsid w:val="002F5623"/>
    <w:rsid w:val="003362E7"/>
    <w:rsid w:val="003D36B1"/>
    <w:rsid w:val="003F6C9E"/>
    <w:rsid w:val="004100AE"/>
    <w:rsid w:val="004178C1"/>
    <w:rsid w:val="00447E8C"/>
    <w:rsid w:val="004603A4"/>
    <w:rsid w:val="00576098"/>
    <w:rsid w:val="00632610"/>
    <w:rsid w:val="00680604"/>
    <w:rsid w:val="006838EA"/>
    <w:rsid w:val="006855D5"/>
    <w:rsid w:val="006D2A42"/>
    <w:rsid w:val="006E4DAE"/>
    <w:rsid w:val="007B525C"/>
    <w:rsid w:val="007B5F4C"/>
    <w:rsid w:val="0083120D"/>
    <w:rsid w:val="00840D10"/>
    <w:rsid w:val="00880558"/>
    <w:rsid w:val="008D2EB6"/>
    <w:rsid w:val="009A4CD5"/>
    <w:rsid w:val="009D5303"/>
    <w:rsid w:val="00A8316F"/>
    <w:rsid w:val="00B22F5B"/>
    <w:rsid w:val="00BC43ED"/>
    <w:rsid w:val="00C55BF8"/>
    <w:rsid w:val="00C720BE"/>
    <w:rsid w:val="00CF2560"/>
    <w:rsid w:val="00D40CAF"/>
    <w:rsid w:val="00D849E9"/>
    <w:rsid w:val="00E50BF2"/>
    <w:rsid w:val="00F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E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E53"/>
    <w:rPr>
      <w:sz w:val="20"/>
      <w:szCs w:val="20"/>
    </w:rPr>
  </w:style>
  <w:style w:type="paragraph" w:styleId="a7">
    <w:name w:val="List Paragraph"/>
    <w:basedOn w:val="a"/>
    <w:uiPriority w:val="34"/>
    <w:qFormat/>
    <w:rsid w:val="007B52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2EC-5A37-4BAB-8F6A-94E45A83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4</DocSecurity>
  <Lines>7</Lines>
  <Paragraphs>2</Paragraphs>
  <ScaleCrop>false</ScaleCrop>
  <Company>SYNNEX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林芳儀</dc:creator>
  <cp:lastModifiedBy>林芳儀</cp:lastModifiedBy>
  <cp:revision>2</cp:revision>
  <cp:lastPrinted>2018-10-11T07:27:00Z</cp:lastPrinted>
  <dcterms:created xsi:type="dcterms:W3CDTF">2018-11-23T02:01:00Z</dcterms:created>
  <dcterms:modified xsi:type="dcterms:W3CDTF">2018-11-23T02:01:00Z</dcterms:modified>
</cp:coreProperties>
</file>