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:rsidR="002B2E53" w:rsidRPr="003F6C9E" w:rsidRDefault="00C55BF8" w:rsidP="003F6C9E">
      <w:pPr>
        <w:spacing w:line="500" w:lineRule="exact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中華民國107年11</w:t>
      </w:r>
      <w:r w:rsidR="007B5F4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="007B5F4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3F6C9E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號函訂定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</w:t>
      </w:r>
    </w:p>
    <w:p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得被遴薦參加傑出女性公務員選拔：</w:t>
      </w:r>
    </w:p>
    <w:p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有下列情形之一者，不得遴薦為傑出女性公務員：</w:t>
      </w:r>
    </w:p>
    <w:p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最近三年內，曾受刑事處分、懲戒處分、彈劾、糾舉或平時考核</w:t>
      </w:r>
    </w:p>
    <w:p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最近三年內年終考績（成）、成績考核曾列乙等或相當等次以</w:t>
      </w:r>
      <w:bookmarkStart w:id="0" w:name="_GoBack"/>
      <w:bookmarkEnd w:id="0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下。</w:t>
      </w:r>
    </w:p>
    <w:p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各機關學校遴薦傑出女性公務員之原則如下：</w:t>
      </w:r>
    </w:p>
    <w:p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以最近三年內未曾獲選本府模範公務人員或傑出女性公務員者為</w:t>
      </w:r>
    </w:p>
    <w:p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遴薦表（如附表一）及事蹟簡介（如附表二），於每年十二月三十一日前提報本府核辦。本府二級機關及學校之人員，應由本府各一級機關統籌遴薦提報。</w:t>
      </w:r>
    </w:p>
    <w:p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本府傑出女性公務員選拔，由本府秘書長召集副秘書長、法務局局長、</w:t>
      </w:r>
    </w:p>
    <w:p w:rsidR="0021170B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人事處處長、政風處處長及研究發展考核委員會主任委員組成專案小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組審議，並得邀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請外部專家學者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列席諮詢。</w:t>
      </w:r>
    </w:p>
    <w:p w:rsidR="00A8316F" w:rsidRPr="0005086E" w:rsidRDefault="0021170B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前項審議結果由本府人事處簽陳市長核定，核定人數以不超過遴薦人數之百分之二十為限。</w:t>
      </w:r>
    </w:p>
    <w:p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前項公假三日，應於通知核定次月起一年內請畢。</w:t>
      </w:r>
    </w:p>
    <w:p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各機關學校對所遴薦人員，在本府核定前，如有職務異動或意外事件</w:t>
      </w:r>
    </w:p>
    <w:p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發生者，應隨時函知本府；如嗣後發現有申報不實、第四點情形之一或其他不適宜遴薦之情事者，應報請本府撤回其遴薦。</w:t>
      </w:r>
    </w:p>
    <w:p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各機關學校被遴薦人員經核定為傑出女性公務員，如嗣後發現有申報</w:t>
      </w:r>
    </w:p>
    <w:p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不實、第四點情形之一或其他不適宜遴薦之情事者，應由原遴薦之主管機關報請本府撤銷其資格，其已受領之獎牌及禮券應予追繳，尚未實施之公假不予實施。</w:t>
      </w:r>
    </w:p>
    <w:p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:rsidR="00632610" w:rsidRPr="0005086E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sectPr w:rsidR="00632610" w:rsidRPr="0005086E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3A4" w:rsidRDefault="004603A4" w:rsidP="002B2E53">
      <w:r>
        <w:separator/>
      </w:r>
    </w:p>
  </w:endnote>
  <w:endnote w:type="continuationSeparator" w:id="0">
    <w:p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3A4" w:rsidRDefault="004603A4" w:rsidP="002B2E53">
      <w:r>
        <w:separator/>
      </w:r>
    </w:p>
  </w:footnote>
  <w:footnote w:type="continuationSeparator" w:id="0">
    <w:p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B525C"/>
    <w:rsid w:val="007B5F4C"/>
    <w:rsid w:val="0083120D"/>
    <w:rsid w:val="00840D10"/>
    <w:rsid w:val="00880558"/>
    <w:rsid w:val="009A4CD5"/>
    <w:rsid w:val="009D5303"/>
    <w:rsid w:val="00A8316F"/>
    <w:rsid w:val="00B22F5B"/>
    <w:rsid w:val="00BC43ED"/>
    <w:rsid w:val="00C55BF8"/>
    <w:rsid w:val="00C720BE"/>
    <w:rsid w:val="00CF2560"/>
    <w:rsid w:val="00D40CAF"/>
    <w:rsid w:val="00D849E9"/>
    <w:rsid w:val="00E50BF2"/>
    <w:rsid w:val="00F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9C834"/>
  <w15:docId w15:val="{63140908-0650-44DE-B2F9-84855BD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49CF-2DBF-4EEC-A0C0-4FDF617B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Company>SYNNEX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林芳儀</dc:creator>
  <cp:lastModifiedBy>梁菀芸</cp:lastModifiedBy>
  <cp:revision>3</cp:revision>
  <cp:lastPrinted>2018-10-11T07:27:00Z</cp:lastPrinted>
  <dcterms:created xsi:type="dcterms:W3CDTF">2018-11-21T08:37:00Z</dcterms:created>
  <dcterms:modified xsi:type="dcterms:W3CDTF">2018-11-21T08:39:00Z</dcterms:modified>
</cp:coreProperties>
</file>