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Mar>
          <w:top w:w="15" w:type="dxa"/>
          <w:left w:w="15" w:type="dxa"/>
          <w:bottom w:w="15" w:type="dxa"/>
          <w:right w:w="15" w:type="dxa"/>
        </w:tblCellMar>
        <w:tblLook w:val="04A0" w:firstRow="1" w:lastRow="0" w:firstColumn="1" w:lastColumn="0" w:noHBand="0" w:noVBand="1"/>
      </w:tblPr>
      <w:tblGrid>
        <w:gridCol w:w="1140"/>
        <w:gridCol w:w="7000"/>
      </w:tblGrid>
      <w:tr w:rsidR="00CE45EE" w:rsidRPr="00CE45EE" w:rsidTr="00CE45EE">
        <w:trPr>
          <w:jc w:val="center"/>
        </w:trPr>
        <w:tc>
          <w:tcPr>
            <w:tcW w:w="0" w:type="auto"/>
            <w:gridSpan w:val="2"/>
            <w:tcMar>
              <w:top w:w="0" w:type="dxa"/>
              <w:left w:w="0" w:type="dxa"/>
              <w:bottom w:w="0" w:type="dxa"/>
              <w:right w:w="0" w:type="dxa"/>
            </w:tcMar>
            <w:vAlign w:val="center"/>
            <w:hideMark/>
          </w:tcPr>
          <w:p w:rsidR="00CE45EE" w:rsidRPr="00CE45EE" w:rsidRDefault="00CE45EE" w:rsidP="00CE45EE">
            <w:pPr>
              <w:widowControl/>
              <w:rPr>
                <w:rFonts w:ascii="新細明體" w:eastAsia="新細明體" w:hAnsi="新細明體" w:cs="新細明體"/>
                <w:kern w:val="0"/>
                <w:szCs w:val="24"/>
              </w:rPr>
            </w:pPr>
            <w:r w:rsidRPr="00CE45EE">
              <w:rPr>
                <w:rFonts w:ascii="新細明體" w:eastAsia="新細明體" w:hAnsi="新細明體" w:cs="新細明體"/>
                <w:kern w:val="0"/>
                <w:szCs w:val="24"/>
              </w:rPr>
              <w:t>台灣學術網路管理規範 ( 民國 99 年 01 月 11 日 發布／函頒 )</w:t>
            </w:r>
          </w:p>
        </w:tc>
      </w:tr>
      <w:tr w:rsidR="00CE45EE" w:rsidRPr="00CE45EE" w:rsidTr="00CE45EE">
        <w:tblPrEx>
          <w:jc w:val="left"/>
          <w:tblCellMar>
            <w:top w:w="45" w:type="dxa"/>
            <w:left w:w="45" w:type="dxa"/>
            <w:bottom w:w="45" w:type="dxa"/>
            <w:right w:w="45" w:type="dxa"/>
          </w:tblCellMar>
        </w:tblPrEx>
        <w:tc>
          <w:tcPr>
            <w:tcW w:w="700" w:type="pct"/>
            <w:tcMar>
              <w:top w:w="45" w:type="dxa"/>
              <w:left w:w="0" w:type="dxa"/>
              <w:bottom w:w="45" w:type="dxa"/>
              <w:right w:w="0" w:type="dxa"/>
            </w:tcMar>
            <w:hideMark/>
          </w:tcPr>
          <w:p w:rsidR="00CE45EE" w:rsidRPr="00CE45EE" w:rsidRDefault="00CE45EE" w:rsidP="00CE45EE">
            <w:pPr>
              <w:widowControl/>
              <w:rPr>
                <w:rFonts w:ascii="Verdana" w:eastAsia="新細明體" w:hAnsi="Verdana" w:cs="新細明體"/>
                <w:b/>
                <w:bCs/>
                <w:color w:val="000000"/>
                <w:kern w:val="0"/>
                <w:szCs w:val="24"/>
              </w:rPr>
            </w:pPr>
          </w:p>
        </w:tc>
        <w:tc>
          <w:tcPr>
            <w:tcW w:w="0" w:type="auto"/>
            <w:tcMar>
              <w:top w:w="45" w:type="dxa"/>
              <w:left w:w="0" w:type="dxa"/>
              <w:bottom w:w="45" w:type="dxa"/>
              <w:right w:w="0" w:type="dxa"/>
            </w:tcMar>
            <w:hideMark/>
          </w:tcPr>
          <w:p w:rsidR="00CE45EE" w:rsidRPr="00CE45EE" w:rsidRDefault="00CE45EE" w:rsidP="00CE45EE">
            <w:pPr>
              <w:widowControl/>
              <w:spacing w:line="408" w:lineRule="atLeast"/>
              <w:ind w:left="884" w:hanging="442"/>
              <w:rPr>
                <w:rFonts w:ascii="細明體" w:eastAsia="細明體" w:hAnsi="細明體" w:cs="新細明體"/>
                <w:color w:val="000000"/>
                <w:kern w:val="0"/>
                <w:sz w:val="20"/>
                <w:szCs w:val="20"/>
              </w:rPr>
            </w:pPr>
            <w:r w:rsidRPr="00CE45EE">
              <w:rPr>
                <w:rFonts w:ascii="新細明體" w:eastAsia="新細明體" w:hAnsi="新細明體" w:cs="新細明體" w:hint="eastAsia"/>
                <w:color w:val="000000"/>
                <w:kern w:val="0"/>
                <w:sz w:val="20"/>
                <w:szCs w:val="20"/>
              </w:rPr>
              <w:t>一、</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教育部為促進台灣學術網路（</w:t>
            </w:r>
            <w:r w:rsidRPr="00CE45EE">
              <w:rPr>
                <w:rFonts w:ascii="細明體" w:eastAsia="細明體" w:hAnsi="細明體" w:cs="新細明體" w:hint="eastAsia"/>
                <w:color w:val="000000"/>
                <w:kern w:val="0"/>
                <w:sz w:val="20"/>
                <w:szCs w:val="20"/>
              </w:rPr>
              <w:t>TANet</w:t>
            </w:r>
            <w:r w:rsidRPr="00CE45EE">
              <w:rPr>
                <w:rFonts w:ascii="新細明體" w:eastAsia="新細明體" w:hAnsi="新細明體" w:cs="新細明體" w:hint="eastAsia"/>
                <w:color w:val="000000"/>
                <w:kern w:val="0"/>
                <w:sz w:val="20"/>
                <w:szCs w:val="20"/>
              </w:rPr>
              <w:t>）資源共享與合作交流，增進網路安全，強化資訊倫理，保護合法權益，以使台灣學術網路管理者與使用者有所依循，特制定本規範。</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t>二、</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台灣學術網路以支援全國各級學校、研究機構及相關單位間之教學與學術研究活動及教育行政應用服務為目的，其管理組織，依序分為下列三個層級：</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一</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台灣學術網路管理會。</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二</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區域網路中心及直轄市、縣（市）教育網路中心（以下簡稱縣市教育網路中心）。</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三</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連線台灣學術網路之各單位（以下簡稱連線單位）。</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 xml:space="preserve">　　   前項各網路中心及連線單位得設置相關管理會、小組或類似性質之組織。</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t>三、</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下列單位得申請連線台灣學術網路：</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一</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教育部及其附屬機構。</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二</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依法設立之各級學校與學術研究機構。</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三</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教育行政機關及其附屬機構。</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四</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教育部輔導設置之數位機會中心。</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五</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其他符合台灣學術網路設置目的，並經台灣學術管理會審議通過之單位。</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 xml:space="preserve">　　   前項連線單位及其使用者，應遵守相關法令與本規範之規定。連線單位應負管理單位內部網路及共同維護台灣學術網路之責。</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t>四、</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台灣學術網路在符合使用目的範圍內，基於互惠合作需要，得經台灣學術網路管理會審議通過後，與其他網路服務提供者互連，以提升資訊交換能力；互連雙方不得利用對方之頻寬從事不符互連目的之行為。</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t>五、</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台灣學術網路管理會應辦理下列網路管理事項：</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一</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訂定台灣學術網路管理規範。</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二</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訂定校園網路保護智慧財產權及資通安全防護之標準作業程序。</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三</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訂定網路使用為適當區隔與管控之相關準則。</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t>六、</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區域網路中心及縣市教育網路中心應辦理下列網路管理事項：</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一</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訂定網路中心所提供各式網路應用服務之相關管理規定。</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二</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宣導網路使用之相關規範與規定。</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三</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協助連線單位處理網路管理問題。</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lastRenderedPageBreak/>
              <w:t>七、</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連線單位應辦理下列網路管理事項：</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一</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訂定網路使用規範，以規範並引導使用者正確使用網路資源。</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二</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訂定校園網路保護智慧財產權之標準作業程序，並積極保護智慧財產權。</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三</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訂定資通安全防護之標準作業程序，並採取適當之措施以維護網路安全。</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四</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建立網路不當資訊處理機制，以維持網路秩序，並提供兒童和青少年安全的網路環境。</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五</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對網路使用與流量為適當之區隔、管控與記錄，並合理使用網路資源。</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六</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訂定單位所提供各式網路應用服務之相關管理辦法。</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七</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宣導網路使用之相關規範與辦法。</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八</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大專校院應將其網路使用規範納入學校相關管理辦法及獎懲措施。</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t>八、</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基於台灣學術網路之安全與有效管理運作，網路使用者應提供必要之個人資料給所屬連線單位。</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 xml:space="preserve">　　  連線單位對前項個人資料之蒐集與利用，或配合司法調查提供個人資料時，應依個人資料保護及其他相關法令規定辦理。</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t>九、</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連線單位及其使用者應禁止或不得為下列不符合台灣學術網路設置目的之行為：</w:t>
            </w:r>
          </w:p>
          <w:p w:rsidR="00CE45EE" w:rsidRPr="00CE45EE" w:rsidRDefault="00CE45EE" w:rsidP="00CE45EE">
            <w:pPr>
              <w:widowControl/>
              <w:spacing w:line="408" w:lineRule="atLeast"/>
              <w:ind w:left="1062" w:hanging="360"/>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一</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利用台灣學術網路從事營利性商業活動。</w:t>
            </w:r>
          </w:p>
          <w:p w:rsidR="00CE45EE" w:rsidRPr="00CE45EE" w:rsidRDefault="00CE45EE" w:rsidP="00CE45EE">
            <w:pPr>
              <w:widowControl/>
              <w:spacing w:line="408" w:lineRule="atLeast"/>
              <w:ind w:left="1062" w:hanging="360"/>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二</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存取影響兒童與青少年身心健全發展之資訊。但因教學或研究之必要，且已設置適當之區隔保護機制者，不在此限。</w:t>
            </w:r>
          </w:p>
          <w:p w:rsidR="00CE45EE" w:rsidRPr="00CE45EE" w:rsidRDefault="00CE45EE" w:rsidP="00CE45EE">
            <w:pPr>
              <w:widowControl/>
              <w:spacing w:line="408" w:lineRule="atLeast"/>
              <w:ind w:left="1062" w:hanging="360"/>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三</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非法使用他人帳號密碼、破解使用電腦之保護措施或利用電腦系統之漏洞，而入侵他人之電腦或其相關設備。</w:t>
            </w:r>
          </w:p>
          <w:p w:rsidR="00CE45EE" w:rsidRPr="00CE45EE" w:rsidRDefault="00CE45EE" w:rsidP="00CE45EE">
            <w:pPr>
              <w:widowControl/>
              <w:spacing w:line="408" w:lineRule="atLeast"/>
              <w:ind w:left="1062" w:hanging="360"/>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四</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非法取得、刪除或變更他人電腦或其相關設備之電磁紀錄。</w:t>
            </w:r>
          </w:p>
          <w:p w:rsidR="00CE45EE" w:rsidRPr="00CE45EE" w:rsidRDefault="00CE45EE" w:rsidP="00CE45EE">
            <w:pPr>
              <w:widowControl/>
              <w:spacing w:line="408" w:lineRule="atLeast"/>
              <w:ind w:left="1062" w:hanging="360"/>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五</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非法以電腦程式或其他電磁方式干擾他人電腦或其相關設備。</w:t>
            </w:r>
          </w:p>
          <w:p w:rsidR="00CE45EE" w:rsidRPr="00CE45EE" w:rsidRDefault="00CE45EE" w:rsidP="00CE45EE">
            <w:pPr>
              <w:widowControl/>
              <w:spacing w:line="408" w:lineRule="atLeast"/>
              <w:ind w:left="1062" w:hanging="360"/>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六</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以任何方式濫用網路資源，大量傳送電子垃圾郵件或類似資訊，及其他影響台灣學術網路系統正常運作之行為。</w:t>
            </w:r>
          </w:p>
          <w:p w:rsidR="00CE45EE" w:rsidRPr="00CE45EE" w:rsidRDefault="00CE45EE" w:rsidP="00CE45EE">
            <w:pPr>
              <w:widowControl/>
              <w:spacing w:line="408" w:lineRule="atLeast"/>
              <w:ind w:left="1062" w:hanging="360"/>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七</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以電子郵件、線上談話、電子佈告欄或其他類似功能之方法，從事散布謠言、詐欺、誹謗、侮辱、猥褻、騷擾、威脅或其他違反社會善良風俗之資訊。</w:t>
            </w:r>
          </w:p>
          <w:p w:rsidR="00CE45EE" w:rsidRPr="00CE45EE" w:rsidRDefault="00CE45EE" w:rsidP="00CE45EE">
            <w:pPr>
              <w:widowControl/>
              <w:spacing w:line="408" w:lineRule="atLeast"/>
              <w:ind w:left="1062" w:hanging="360"/>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八</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其他不符台灣學術網路設置目的之行為。</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lastRenderedPageBreak/>
              <w:t>       </w:t>
            </w:r>
            <w:r w:rsidRPr="00CE45EE">
              <w:rPr>
                <w:rFonts w:ascii="新細明體" w:eastAsia="新細明體" w:hAnsi="新細明體" w:cs="新細明體" w:hint="eastAsia"/>
                <w:color w:val="000000"/>
                <w:kern w:val="0"/>
                <w:sz w:val="20"/>
                <w:szCs w:val="20"/>
              </w:rPr>
              <w:t xml:space="preserve">　　  前項各款行為如有涉及不法情事者，使用者應依相關法令規定自負法律責任。</w:t>
            </w:r>
          </w:p>
          <w:p w:rsidR="00CE45EE" w:rsidRPr="00CE45EE" w:rsidRDefault="00CE45EE" w:rsidP="00CE45EE">
            <w:pPr>
              <w:widowControl/>
              <w:spacing w:line="408" w:lineRule="atLeast"/>
              <w:ind w:left="884" w:hanging="44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t>十、</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連線單位應要求其使用者尊重智慧財產權，並不得為下列可能涉及侵害網路智慧財產權之行為：</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一</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使用未經授權之電腦程式。</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二</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下載或重製受著作權法保護之著作。</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三</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未經著作權人之同意，將受保護之著作公開於網路上。</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四</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任意轉載電子佈告欄或其他線上討論區上之文章。</w:t>
            </w:r>
          </w:p>
          <w:p w:rsidR="00CE45EE" w:rsidRPr="00CE45EE" w:rsidRDefault="00CE45EE" w:rsidP="00CE45EE">
            <w:pPr>
              <w:widowControl/>
              <w:spacing w:line="408" w:lineRule="atLeast"/>
              <w:ind w:left="116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五</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其他可能涉及侵害智慧財產權爭議之行為。</w:t>
            </w:r>
          </w:p>
          <w:p w:rsidR="00CE45EE" w:rsidRPr="00CE45EE" w:rsidRDefault="00CE45EE" w:rsidP="00CE45EE">
            <w:pPr>
              <w:widowControl/>
              <w:spacing w:line="408" w:lineRule="atLeast"/>
              <w:ind w:left="1104" w:hanging="66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t>十一、</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有下列各款情形之一，各級管理單位得限制或暫時中斷連線單位或使用者與台灣學術網路之連線：</w:t>
            </w:r>
          </w:p>
          <w:p w:rsidR="00CE45EE" w:rsidRPr="00CE45EE" w:rsidRDefault="00CE45EE" w:rsidP="00CE45EE">
            <w:pPr>
              <w:widowControl/>
              <w:spacing w:line="408" w:lineRule="atLeast"/>
              <w:ind w:left="1328"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一</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違反相關法令或本規範之情事者。</w:t>
            </w:r>
          </w:p>
          <w:p w:rsidR="00CE45EE" w:rsidRPr="00CE45EE" w:rsidRDefault="00CE45EE" w:rsidP="00CE45EE">
            <w:pPr>
              <w:widowControl/>
              <w:spacing w:line="408" w:lineRule="atLeast"/>
              <w:ind w:left="1328"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二</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涉及國家安全者。</w:t>
            </w:r>
          </w:p>
          <w:p w:rsidR="00CE45EE" w:rsidRPr="00CE45EE" w:rsidRDefault="00CE45EE" w:rsidP="00CE45EE">
            <w:pPr>
              <w:widowControl/>
              <w:spacing w:line="408" w:lineRule="atLeast"/>
              <w:ind w:left="1328"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三</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為配合司法機關之調查者。</w:t>
            </w:r>
          </w:p>
          <w:p w:rsidR="00CE45EE" w:rsidRPr="00CE45EE" w:rsidRDefault="00CE45EE" w:rsidP="00CE45EE">
            <w:pPr>
              <w:widowControl/>
              <w:spacing w:line="408" w:lineRule="atLeast"/>
              <w:ind w:left="1328"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四</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為阻斷不當或不法行為存續或擴散者。</w:t>
            </w:r>
          </w:p>
          <w:p w:rsidR="00CE45EE" w:rsidRPr="00CE45EE" w:rsidRDefault="00CE45EE" w:rsidP="00CE45EE">
            <w:pPr>
              <w:widowControl/>
              <w:spacing w:line="408" w:lineRule="atLeast"/>
              <w:ind w:left="1328"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五</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更新、遷移網路設備，測試、維護或檢查網路及相關系統者。</w:t>
            </w:r>
          </w:p>
          <w:p w:rsidR="00CE45EE" w:rsidRPr="00CE45EE" w:rsidRDefault="00CE45EE" w:rsidP="00CE45EE">
            <w:pPr>
              <w:widowControl/>
              <w:spacing w:line="408" w:lineRule="atLeast"/>
              <w:ind w:left="1328"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六</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不明原因非中斷不足以排除網路障礙者。</w:t>
            </w:r>
          </w:p>
          <w:p w:rsidR="00CE45EE" w:rsidRPr="00CE45EE" w:rsidRDefault="00CE45EE" w:rsidP="00CE45EE">
            <w:pPr>
              <w:widowControl/>
              <w:spacing w:line="408" w:lineRule="atLeast"/>
              <w:ind w:left="1104" w:hanging="66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t>十二、</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台灣學術網路使用者違反本規範之行為，依所屬單位規定處理。</w:t>
            </w:r>
          </w:p>
          <w:p w:rsidR="00CE45EE" w:rsidRPr="00CE45EE" w:rsidRDefault="00CE45EE" w:rsidP="00CE45EE">
            <w:pPr>
              <w:widowControl/>
              <w:spacing w:line="408" w:lineRule="atLeast"/>
              <w:ind w:left="1104" w:hanging="66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 xml:space="preserve">　　   台灣學術網路管理者利用職務違反本規範者應依相關規定予以處分。</w:t>
            </w:r>
          </w:p>
          <w:p w:rsidR="00CE45EE" w:rsidRPr="00CE45EE" w:rsidRDefault="00CE45EE" w:rsidP="00CE45EE">
            <w:pPr>
              <w:widowControl/>
              <w:spacing w:line="408" w:lineRule="atLeast"/>
              <w:ind w:left="1104" w:hanging="66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 xml:space="preserve">　　   前二項違規行為如涉及不法情事者，除須受到行政處分外，並應自負法律責任。</w:t>
            </w:r>
          </w:p>
          <w:p w:rsidR="00CE45EE" w:rsidRPr="00CE45EE" w:rsidRDefault="00CE45EE" w:rsidP="00CE45EE">
            <w:pPr>
              <w:widowControl/>
              <w:spacing w:line="408" w:lineRule="atLeast"/>
              <w:ind w:left="1104" w:hanging="662"/>
              <w:rPr>
                <w:rFonts w:ascii="細明體" w:eastAsia="細明體" w:hAnsi="細明體" w:cs="新細明體" w:hint="eastAsia"/>
                <w:color w:val="000000"/>
                <w:kern w:val="0"/>
                <w:sz w:val="20"/>
                <w:szCs w:val="20"/>
              </w:rPr>
            </w:pPr>
            <w:r w:rsidRPr="00CE45EE">
              <w:rPr>
                <w:rFonts w:ascii="新細明體" w:eastAsia="新細明體" w:hAnsi="新細明體" w:cs="新細明體" w:hint="eastAsia"/>
                <w:color w:val="000000"/>
                <w:kern w:val="0"/>
                <w:sz w:val="20"/>
                <w:szCs w:val="20"/>
              </w:rPr>
              <w:t>十三、</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台灣學術網路之使用者凡有下列情形之一，事實具體且成效顯著者，台灣學術網路管理會得為適當之獎勵：</w:t>
            </w:r>
          </w:p>
          <w:p w:rsidR="00CE45EE" w:rsidRPr="00CE45EE" w:rsidRDefault="00CE45EE" w:rsidP="00CE45EE">
            <w:pPr>
              <w:widowControl/>
              <w:spacing w:line="408" w:lineRule="atLeast"/>
              <w:ind w:left="134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一</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維護台灣學術網路之正常運作。</w:t>
            </w:r>
          </w:p>
          <w:p w:rsidR="00CE45EE" w:rsidRPr="00CE45EE" w:rsidRDefault="00CE45EE" w:rsidP="00CE45EE">
            <w:pPr>
              <w:widowControl/>
              <w:spacing w:line="408" w:lineRule="atLeast"/>
              <w:ind w:left="134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二</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創新台灣學術網路管理技術。</w:t>
            </w:r>
          </w:p>
          <w:p w:rsidR="00CE45EE" w:rsidRPr="00CE45EE" w:rsidRDefault="00CE45EE" w:rsidP="00CE45EE">
            <w:pPr>
              <w:widowControl/>
              <w:spacing w:line="408" w:lineRule="atLeast"/>
              <w:ind w:left="134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三</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提供新興網路應用服務。</w:t>
            </w:r>
          </w:p>
          <w:p w:rsidR="00CE45EE" w:rsidRPr="00CE45EE" w:rsidRDefault="00CE45EE" w:rsidP="00CE45EE">
            <w:pPr>
              <w:widowControl/>
              <w:spacing w:line="408" w:lineRule="atLeast"/>
              <w:ind w:left="134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四</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推動台灣學術網路相關計畫。</w:t>
            </w:r>
          </w:p>
          <w:p w:rsidR="00CE45EE" w:rsidRPr="00CE45EE" w:rsidRDefault="00CE45EE" w:rsidP="00CE45EE">
            <w:pPr>
              <w:widowControl/>
              <w:spacing w:line="408" w:lineRule="atLeast"/>
              <w:ind w:left="1342" w:hanging="442"/>
              <w:rPr>
                <w:rFonts w:ascii="細明體" w:eastAsia="細明體" w:hAnsi="細明體" w:cs="新細明體" w:hint="eastAsia"/>
                <w:color w:val="000000"/>
                <w:kern w:val="0"/>
                <w:sz w:val="20"/>
                <w:szCs w:val="20"/>
              </w:rPr>
            </w:pPr>
            <w:r w:rsidRPr="00CE45EE">
              <w:rPr>
                <w:rFonts w:ascii="細明體" w:eastAsia="細明體" w:hAnsi="細明體" w:cs="新細明體" w:hint="eastAsia"/>
                <w:color w:val="000000"/>
                <w:kern w:val="0"/>
                <w:sz w:val="20"/>
                <w:szCs w:val="20"/>
              </w:rPr>
              <w:t>(</w:t>
            </w:r>
            <w:r w:rsidRPr="00CE45EE">
              <w:rPr>
                <w:rFonts w:ascii="新細明體" w:eastAsia="新細明體" w:hAnsi="新細明體" w:cs="新細明體" w:hint="eastAsia"/>
                <w:color w:val="000000"/>
                <w:kern w:val="0"/>
                <w:sz w:val="20"/>
                <w:szCs w:val="20"/>
              </w:rPr>
              <w:t>五</w:t>
            </w:r>
            <w:r w:rsidRPr="00CE45EE">
              <w:rPr>
                <w:rFonts w:ascii="細明體" w:eastAsia="細明體" w:hAnsi="細明體" w:cs="新細明體" w:hint="eastAsia"/>
                <w:color w:val="000000"/>
                <w:kern w:val="0"/>
                <w:sz w:val="20"/>
                <w:szCs w:val="20"/>
              </w:rPr>
              <w:t>) </w:t>
            </w:r>
            <w:r w:rsidRPr="00CE45EE">
              <w:rPr>
                <w:rFonts w:ascii="新細明體" w:eastAsia="新細明體" w:hAnsi="新細明體" w:cs="新細明體" w:hint="eastAsia"/>
                <w:color w:val="000000"/>
                <w:kern w:val="0"/>
                <w:sz w:val="20"/>
                <w:szCs w:val="20"/>
              </w:rPr>
              <w:t>其他有助於台灣學術網路發展者。</w:t>
            </w:r>
          </w:p>
          <w:p w:rsidR="00CE45EE" w:rsidRPr="00CE45EE" w:rsidRDefault="00CE45EE" w:rsidP="00CE45EE">
            <w:pPr>
              <w:widowControl/>
              <w:spacing w:line="408" w:lineRule="atLeast"/>
              <w:ind w:hanging="442"/>
              <w:rPr>
                <w:rFonts w:ascii="細明體" w:eastAsia="細明體" w:hAnsi="細明體" w:cs="新細明體" w:hint="eastAsia"/>
                <w:color w:val="000000"/>
                <w:kern w:val="0"/>
                <w:szCs w:val="24"/>
              </w:rPr>
            </w:pPr>
            <w:r w:rsidRPr="00CE45EE">
              <w:rPr>
                <w:rFonts w:ascii="新細明體" w:eastAsia="新細明體" w:hAnsi="新細明體" w:cs="新細明體" w:hint="eastAsia"/>
                <w:color w:val="000000"/>
                <w:kern w:val="0"/>
                <w:sz w:val="20"/>
                <w:szCs w:val="20"/>
              </w:rPr>
              <w:t>十四、</w:t>
            </w:r>
            <w:r w:rsidRPr="00CE45EE">
              <w:rPr>
                <w:rFonts w:ascii="Times New Roman" w:eastAsia="細明體" w:hAnsi="Times New Roman" w:cs="Times New Roman"/>
                <w:color w:val="000000"/>
                <w:kern w:val="0"/>
                <w:sz w:val="20"/>
                <w:szCs w:val="20"/>
              </w:rPr>
              <w:t> </w:t>
            </w:r>
            <w:r w:rsidRPr="00CE45EE">
              <w:rPr>
                <w:rFonts w:ascii="新細明體" w:eastAsia="新細明體" w:hAnsi="新細明體" w:cs="新細明體" w:hint="eastAsia"/>
                <w:color w:val="000000"/>
                <w:kern w:val="0"/>
                <w:sz w:val="20"/>
                <w:szCs w:val="20"/>
              </w:rPr>
              <w:t>本規範之訂定，應經台灣學術網路管理會通過，修正時亦同。</w:t>
            </w:r>
          </w:p>
        </w:tc>
      </w:tr>
    </w:tbl>
    <w:p w:rsidR="00D00076" w:rsidRPr="00CE45EE" w:rsidRDefault="00D00076">
      <w:bookmarkStart w:id="0" w:name="_GoBack"/>
      <w:bookmarkEnd w:id="0"/>
    </w:p>
    <w:sectPr w:rsidR="00D00076" w:rsidRPr="00CE45E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EE"/>
    <w:rsid w:val="00CE45EE"/>
    <w:rsid w:val="00D000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4D8ED-A1D8-4EEB-99F6-624E160D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687023">
      <w:bodyDiv w:val="1"/>
      <w:marLeft w:val="0"/>
      <w:marRight w:val="0"/>
      <w:marTop w:val="0"/>
      <w:marBottom w:val="0"/>
      <w:divBdr>
        <w:top w:val="none" w:sz="0" w:space="0" w:color="auto"/>
        <w:left w:val="none" w:sz="0" w:space="0" w:color="auto"/>
        <w:bottom w:val="none" w:sz="0" w:space="0" w:color="auto"/>
        <w:right w:val="none" w:sz="0" w:space="0" w:color="auto"/>
      </w:divBdr>
      <w:divsChild>
        <w:div w:id="983124904">
          <w:marLeft w:val="0"/>
          <w:marRight w:val="0"/>
          <w:marTop w:val="0"/>
          <w:marBottom w:val="0"/>
          <w:divBdr>
            <w:top w:val="none" w:sz="0" w:space="0" w:color="auto"/>
            <w:left w:val="none" w:sz="0" w:space="0" w:color="auto"/>
            <w:bottom w:val="none" w:sz="0" w:space="0" w:color="auto"/>
            <w:right w:val="none" w:sz="0" w:space="0" w:color="auto"/>
          </w:divBdr>
        </w:div>
        <w:div w:id="309100267">
          <w:marLeft w:val="4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1950</Characters>
  <Application>Microsoft Office Word</Application>
  <DocSecurity>0</DocSecurity>
  <Lines>16</Lines>
  <Paragraphs>4</Paragraphs>
  <ScaleCrop>false</ScaleCrop>
  <Company>東安國中</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東安國中</dc:creator>
  <cp:keywords/>
  <dc:description/>
  <cp:lastModifiedBy>東安國中</cp:lastModifiedBy>
  <cp:revision>1</cp:revision>
  <dcterms:created xsi:type="dcterms:W3CDTF">2016-05-10T06:07:00Z</dcterms:created>
  <dcterms:modified xsi:type="dcterms:W3CDTF">2016-05-10T06:08:00Z</dcterms:modified>
</cp:coreProperties>
</file>