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726ACA" w:rsidRPr="00C837F6" w:rsidRDefault="002E053F" w:rsidP="002E053F">
      <w:pPr>
        <w:jc w:val="center"/>
        <w:rPr>
          <w:rFonts w:ascii="標楷體" w:eastAsia="標楷體" w:hAnsi="標楷體"/>
          <w:sz w:val="36"/>
          <w:szCs w:val="36"/>
        </w:rPr>
      </w:pPr>
      <w:r w:rsidRPr="00C837F6">
        <w:rPr>
          <w:rFonts w:ascii="標楷體" w:eastAsia="標楷體" w:hAnsi="標楷體"/>
          <w:sz w:val="36"/>
          <w:szCs w:val="36"/>
        </w:rPr>
        <w:fldChar w:fldCharType="begin"/>
      </w:r>
      <w:r w:rsidRPr="00C837F6">
        <w:rPr>
          <w:rFonts w:ascii="標楷體" w:eastAsia="標楷體" w:hAnsi="標楷體"/>
          <w:sz w:val="36"/>
          <w:szCs w:val="36"/>
        </w:rPr>
        <w:instrText xml:space="preserve"> HYPERLINK "http://www.laws.taipei.gov.tw/taipei/lawsystem/showmaster01.jsp?LawID=P07A2018-20080603" </w:instrText>
      </w:r>
      <w:r w:rsidRPr="00C837F6">
        <w:rPr>
          <w:rFonts w:ascii="標楷體" w:eastAsia="標楷體" w:hAnsi="標楷體"/>
          <w:sz w:val="36"/>
          <w:szCs w:val="36"/>
        </w:rPr>
        <w:fldChar w:fldCharType="separate"/>
      </w:r>
      <w:r w:rsidRPr="00C837F6">
        <w:rPr>
          <w:rFonts w:ascii="標楷體" w:eastAsia="標楷體" w:hAnsi="標楷體" w:hint="eastAsia"/>
          <w:sz w:val="36"/>
          <w:szCs w:val="36"/>
        </w:rPr>
        <w:t>桃園</w:t>
      </w:r>
      <w:r w:rsidRPr="00C837F6">
        <w:rPr>
          <w:rFonts w:ascii="標楷體" w:eastAsia="標楷體" w:hAnsi="標楷體"/>
          <w:sz w:val="36"/>
          <w:szCs w:val="36"/>
        </w:rPr>
        <w:t>市政府車輛行車事故鑑定委員會設置要點</w:t>
      </w:r>
      <w:r w:rsidRPr="00C837F6">
        <w:rPr>
          <w:rFonts w:ascii="標楷體" w:eastAsia="標楷體" w:hAnsi="標楷體"/>
          <w:sz w:val="36"/>
          <w:szCs w:val="36"/>
        </w:rPr>
        <w:fldChar w:fldCharType="end"/>
      </w:r>
    </w:p>
    <w:bookmarkEnd w:id="0"/>
    <w:p w:rsidR="002E053F" w:rsidRPr="00C837F6" w:rsidRDefault="002E053F" w:rsidP="008421F2">
      <w:pPr>
        <w:spacing w:beforeLines="50" w:before="120"/>
        <w:jc w:val="right"/>
        <w:rPr>
          <w:rFonts w:ascii="標楷體" w:eastAsia="標楷體" w:hAnsi="標楷體"/>
        </w:rPr>
      </w:pPr>
      <w:r w:rsidRPr="00C837F6">
        <w:rPr>
          <w:rFonts w:ascii="標楷體" w:eastAsia="標楷體" w:hAnsi="標楷體" w:hint="eastAsia"/>
        </w:rPr>
        <w:t>中華民國104年12月9日府</w:t>
      </w:r>
      <w:r w:rsidR="00071507">
        <w:rPr>
          <w:rFonts w:ascii="標楷體" w:eastAsia="標楷體" w:hAnsi="標楷體" w:hint="eastAsia"/>
        </w:rPr>
        <w:t>交</w:t>
      </w:r>
      <w:r w:rsidRPr="00C837F6">
        <w:rPr>
          <w:rFonts w:ascii="標楷體" w:eastAsia="標楷體" w:hAnsi="標楷體" w:hint="eastAsia"/>
        </w:rPr>
        <w:t>公字第104</w:t>
      </w:r>
      <w:r w:rsidR="00FB4960">
        <w:rPr>
          <w:rFonts w:ascii="標楷體" w:eastAsia="標楷體" w:hAnsi="標楷體" w:hint="eastAsia"/>
        </w:rPr>
        <w:t>0324129</w:t>
      </w:r>
      <w:r w:rsidRPr="00C837F6">
        <w:rPr>
          <w:rFonts w:ascii="標楷體" w:eastAsia="標楷體" w:hAnsi="標楷體" w:hint="eastAsia"/>
        </w:rPr>
        <w:t>號函訂定</w:t>
      </w:r>
    </w:p>
    <w:p w:rsidR="002E053F" w:rsidRPr="00C837F6" w:rsidRDefault="002E053F" w:rsidP="008421F2">
      <w:pPr>
        <w:pStyle w:val="a3"/>
        <w:numPr>
          <w:ilvl w:val="0"/>
          <w:numId w:val="17"/>
        </w:numPr>
        <w:spacing w:beforeLines="50" w:before="120" w:line="520" w:lineRule="exact"/>
        <w:ind w:leftChars="0" w:left="658" w:hanging="658"/>
        <w:rPr>
          <w:rFonts w:ascii="標楷體" w:eastAsia="標楷體" w:hAnsi="標楷體"/>
          <w:kern w:val="0"/>
          <w:sz w:val="32"/>
          <w:szCs w:val="32"/>
        </w:rPr>
      </w:pPr>
      <w:r w:rsidRPr="00C837F6">
        <w:rPr>
          <w:rFonts w:ascii="標楷體" w:eastAsia="標楷體" w:hAnsi="標楷體" w:hint="eastAsia"/>
          <w:kern w:val="0"/>
          <w:sz w:val="32"/>
          <w:szCs w:val="32"/>
        </w:rPr>
        <w:t>桃園</w:t>
      </w:r>
      <w:r w:rsidRPr="00C837F6">
        <w:rPr>
          <w:rFonts w:ascii="標楷體" w:eastAsia="標楷體" w:hAnsi="標楷體"/>
          <w:kern w:val="0"/>
          <w:sz w:val="32"/>
          <w:szCs w:val="32"/>
        </w:rPr>
        <w:t>市政府</w:t>
      </w:r>
      <w:r w:rsidR="00DF7291" w:rsidRPr="00C837F6">
        <w:rPr>
          <w:rFonts w:ascii="標楷體" w:eastAsia="標楷體" w:hAnsi="標楷體" w:hint="eastAsia"/>
          <w:kern w:val="0"/>
          <w:sz w:val="32"/>
          <w:szCs w:val="32"/>
        </w:rPr>
        <w:t>（</w:t>
      </w:r>
      <w:r w:rsidRPr="00C837F6">
        <w:rPr>
          <w:rFonts w:ascii="標楷體" w:eastAsia="標楷體" w:hAnsi="標楷體"/>
          <w:kern w:val="0"/>
          <w:sz w:val="32"/>
          <w:szCs w:val="32"/>
        </w:rPr>
        <w:t>以下簡稱本府</w:t>
      </w:r>
      <w:r w:rsidR="00DF7291" w:rsidRPr="00C837F6">
        <w:rPr>
          <w:rFonts w:ascii="標楷體" w:eastAsia="標楷體" w:hAnsi="標楷體" w:hint="eastAsia"/>
          <w:kern w:val="0"/>
          <w:sz w:val="32"/>
          <w:szCs w:val="32"/>
        </w:rPr>
        <w:t>）</w:t>
      </w:r>
      <w:r w:rsidRPr="00C837F6">
        <w:rPr>
          <w:rFonts w:ascii="標楷體" w:eastAsia="標楷體" w:hAnsi="標楷體"/>
          <w:kern w:val="0"/>
          <w:sz w:val="32"/>
          <w:szCs w:val="32"/>
        </w:rPr>
        <w:t>為處理轄區車輛行車事故鑑定事項</w:t>
      </w:r>
      <w:r w:rsidRPr="00C837F6">
        <w:rPr>
          <w:rFonts w:ascii="標楷體" w:eastAsia="標楷體" w:hAnsi="標楷體" w:cs="細明體" w:hint="eastAsia"/>
          <w:kern w:val="0"/>
          <w:sz w:val="32"/>
          <w:szCs w:val="32"/>
        </w:rPr>
        <w:t>，特</w:t>
      </w:r>
      <w:r w:rsidRPr="00C837F6">
        <w:rPr>
          <w:rFonts w:ascii="標楷體" w:eastAsia="標楷體" w:hAnsi="標楷體"/>
          <w:kern w:val="0"/>
          <w:sz w:val="32"/>
          <w:szCs w:val="32"/>
        </w:rPr>
        <w:t>設</w:t>
      </w:r>
      <w:r w:rsidRPr="00C837F6">
        <w:rPr>
          <w:rFonts w:ascii="標楷體" w:eastAsia="標楷體" w:hAnsi="標楷體" w:hint="eastAsia"/>
          <w:kern w:val="0"/>
          <w:sz w:val="32"/>
          <w:szCs w:val="32"/>
        </w:rPr>
        <w:t>桃園</w:t>
      </w:r>
      <w:r w:rsidRPr="00C837F6">
        <w:rPr>
          <w:rFonts w:ascii="標楷體" w:eastAsia="標楷體" w:hAnsi="標楷體"/>
          <w:kern w:val="0"/>
          <w:sz w:val="32"/>
          <w:szCs w:val="32"/>
        </w:rPr>
        <w:t>市政府車輛行車事故鑑定委員會</w:t>
      </w:r>
      <w:r w:rsidR="00DF7291" w:rsidRPr="00C837F6">
        <w:rPr>
          <w:rFonts w:ascii="標楷體" w:eastAsia="標楷體" w:hAnsi="標楷體" w:hint="eastAsia"/>
          <w:kern w:val="0"/>
          <w:sz w:val="32"/>
          <w:szCs w:val="32"/>
        </w:rPr>
        <w:t>（</w:t>
      </w:r>
      <w:r w:rsidRPr="00C837F6">
        <w:rPr>
          <w:rFonts w:ascii="標楷體" w:eastAsia="標楷體" w:hAnsi="標楷體"/>
          <w:kern w:val="0"/>
          <w:sz w:val="32"/>
          <w:szCs w:val="32"/>
        </w:rPr>
        <w:t>以下簡稱本會</w:t>
      </w:r>
      <w:r w:rsidR="00DF7291" w:rsidRPr="00C837F6">
        <w:rPr>
          <w:rFonts w:ascii="標楷體" w:eastAsia="標楷體" w:hAnsi="標楷體" w:hint="eastAsia"/>
          <w:kern w:val="0"/>
          <w:sz w:val="32"/>
          <w:szCs w:val="32"/>
        </w:rPr>
        <w:t>）</w:t>
      </w:r>
      <w:r w:rsidRPr="00C837F6">
        <w:rPr>
          <w:rFonts w:ascii="標楷體" w:eastAsia="標楷體" w:hAnsi="標楷體"/>
          <w:kern w:val="0"/>
          <w:sz w:val="32"/>
          <w:szCs w:val="32"/>
        </w:rPr>
        <w:t>，並訂定本要點。</w:t>
      </w:r>
    </w:p>
    <w:p w:rsidR="002E053F" w:rsidRPr="00C837F6" w:rsidRDefault="002E053F" w:rsidP="008421F2">
      <w:pPr>
        <w:numPr>
          <w:ilvl w:val="0"/>
          <w:numId w:val="17"/>
        </w:numPr>
        <w:spacing w:beforeLines="50" w:before="120" w:line="520" w:lineRule="exact"/>
        <w:ind w:left="482" w:hanging="482"/>
        <w:rPr>
          <w:rFonts w:eastAsia="標楷體"/>
          <w:kern w:val="0"/>
          <w:sz w:val="32"/>
          <w:szCs w:val="32"/>
        </w:rPr>
      </w:pPr>
      <w:r w:rsidRPr="00C837F6">
        <w:rPr>
          <w:rFonts w:eastAsia="標楷體" w:hAnsi="標楷體"/>
          <w:sz w:val="32"/>
          <w:szCs w:val="32"/>
        </w:rPr>
        <w:t>本會</w:t>
      </w:r>
      <w:r w:rsidRPr="00C837F6">
        <w:rPr>
          <w:rFonts w:eastAsia="標楷體" w:hAnsi="標楷體" w:hint="eastAsia"/>
          <w:kern w:val="0"/>
          <w:sz w:val="32"/>
          <w:szCs w:val="32"/>
        </w:rPr>
        <w:t>任務如下：</w:t>
      </w:r>
    </w:p>
    <w:p w:rsidR="002E053F" w:rsidRPr="00C837F6" w:rsidRDefault="002E053F" w:rsidP="00DF7291">
      <w:pPr>
        <w:pStyle w:val="a3"/>
        <w:numPr>
          <w:ilvl w:val="1"/>
          <w:numId w:val="18"/>
        </w:numPr>
        <w:autoSpaceDE w:val="0"/>
        <w:autoSpaceDN w:val="0"/>
        <w:adjustRightInd w:val="0"/>
        <w:spacing w:line="520" w:lineRule="exact"/>
        <w:ind w:leftChars="0"/>
        <w:rPr>
          <w:rFonts w:eastAsia="標楷體"/>
          <w:kern w:val="0"/>
          <w:sz w:val="32"/>
          <w:szCs w:val="32"/>
        </w:rPr>
      </w:pPr>
      <w:r w:rsidRPr="00C837F6">
        <w:rPr>
          <w:rFonts w:eastAsia="標楷體" w:hAnsi="標楷體"/>
          <w:kern w:val="0"/>
          <w:sz w:val="32"/>
          <w:szCs w:val="32"/>
        </w:rPr>
        <w:t>行車事故現場勘查及報告。</w:t>
      </w:r>
    </w:p>
    <w:p w:rsidR="002E053F" w:rsidRPr="00C837F6" w:rsidRDefault="002E053F" w:rsidP="00DF7291">
      <w:pPr>
        <w:pStyle w:val="a3"/>
        <w:numPr>
          <w:ilvl w:val="1"/>
          <w:numId w:val="18"/>
        </w:numPr>
        <w:autoSpaceDE w:val="0"/>
        <w:autoSpaceDN w:val="0"/>
        <w:adjustRightInd w:val="0"/>
        <w:spacing w:line="520" w:lineRule="exact"/>
        <w:ind w:leftChars="0"/>
        <w:rPr>
          <w:rFonts w:eastAsia="標楷體"/>
          <w:kern w:val="0"/>
          <w:sz w:val="32"/>
          <w:szCs w:val="32"/>
        </w:rPr>
      </w:pPr>
      <w:r w:rsidRPr="00C837F6">
        <w:rPr>
          <w:rFonts w:eastAsia="標楷體" w:hAnsi="標楷體"/>
          <w:kern w:val="0"/>
          <w:sz w:val="32"/>
          <w:szCs w:val="32"/>
        </w:rPr>
        <w:t>行車事故事證之蒐集、分析及鑑定。</w:t>
      </w:r>
    </w:p>
    <w:p w:rsidR="002E053F" w:rsidRPr="00C837F6" w:rsidRDefault="002E053F" w:rsidP="00DF7291">
      <w:pPr>
        <w:pStyle w:val="a3"/>
        <w:numPr>
          <w:ilvl w:val="1"/>
          <w:numId w:val="18"/>
        </w:numPr>
        <w:autoSpaceDE w:val="0"/>
        <w:autoSpaceDN w:val="0"/>
        <w:adjustRightInd w:val="0"/>
        <w:spacing w:line="520" w:lineRule="exact"/>
        <w:ind w:leftChars="0"/>
        <w:rPr>
          <w:rFonts w:eastAsia="標楷體"/>
          <w:kern w:val="0"/>
          <w:sz w:val="32"/>
          <w:szCs w:val="32"/>
        </w:rPr>
      </w:pPr>
      <w:r w:rsidRPr="00C837F6">
        <w:rPr>
          <w:rFonts w:eastAsia="標楷體" w:hAnsi="標楷體"/>
          <w:kern w:val="0"/>
          <w:sz w:val="32"/>
          <w:szCs w:val="32"/>
        </w:rPr>
        <w:t>召開</w:t>
      </w:r>
      <w:r w:rsidRPr="00C837F6">
        <w:rPr>
          <w:rFonts w:eastAsia="標楷體" w:hAnsi="標楷體" w:hint="eastAsia"/>
          <w:kern w:val="0"/>
          <w:sz w:val="32"/>
          <w:szCs w:val="32"/>
        </w:rPr>
        <w:t>會議</w:t>
      </w:r>
      <w:r w:rsidRPr="00C837F6">
        <w:rPr>
          <w:rFonts w:eastAsia="標楷體" w:hAnsi="標楷體"/>
          <w:kern w:val="0"/>
          <w:sz w:val="32"/>
          <w:szCs w:val="32"/>
        </w:rPr>
        <w:t>及</w:t>
      </w:r>
      <w:r w:rsidRPr="00C837F6">
        <w:rPr>
          <w:rFonts w:eastAsia="標楷體" w:hAnsi="標楷體" w:hint="eastAsia"/>
          <w:kern w:val="0"/>
          <w:sz w:val="32"/>
          <w:szCs w:val="32"/>
        </w:rPr>
        <w:t>製作</w:t>
      </w:r>
      <w:r w:rsidRPr="00C837F6">
        <w:rPr>
          <w:rFonts w:eastAsia="標楷體" w:hAnsi="標楷體"/>
          <w:kern w:val="0"/>
          <w:sz w:val="32"/>
          <w:szCs w:val="32"/>
        </w:rPr>
        <w:t>鑑定意見書。</w:t>
      </w:r>
    </w:p>
    <w:p w:rsidR="002E053F" w:rsidRPr="00C837F6" w:rsidRDefault="002E053F" w:rsidP="00DF7291">
      <w:pPr>
        <w:pStyle w:val="a3"/>
        <w:numPr>
          <w:ilvl w:val="1"/>
          <w:numId w:val="18"/>
        </w:numPr>
        <w:autoSpaceDE w:val="0"/>
        <w:autoSpaceDN w:val="0"/>
        <w:adjustRightInd w:val="0"/>
        <w:spacing w:line="520" w:lineRule="exact"/>
        <w:ind w:leftChars="0"/>
        <w:rPr>
          <w:rFonts w:eastAsia="標楷體"/>
          <w:kern w:val="0"/>
          <w:sz w:val="32"/>
          <w:szCs w:val="32"/>
        </w:rPr>
      </w:pPr>
      <w:r w:rsidRPr="00C837F6">
        <w:rPr>
          <w:rFonts w:eastAsia="標楷體" w:hAnsi="標楷體" w:hint="eastAsia"/>
          <w:kern w:val="0"/>
          <w:sz w:val="32"/>
          <w:szCs w:val="32"/>
        </w:rPr>
        <w:t>提供</w:t>
      </w:r>
      <w:r w:rsidRPr="00C837F6">
        <w:rPr>
          <w:rFonts w:eastAsia="標楷體" w:hAnsi="標楷體"/>
          <w:kern w:val="0"/>
          <w:sz w:val="32"/>
          <w:szCs w:val="32"/>
        </w:rPr>
        <w:t>行車事故案件覆議資料。</w:t>
      </w:r>
    </w:p>
    <w:p w:rsidR="002E053F" w:rsidRPr="00C837F6" w:rsidRDefault="002E053F" w:rsidP="00DF7291">
      <w:pPr>
        <w:pStyle w:val="a3"/>
        <w:numPr>
          <w:ilvl w:val="1"/>
          <w:numId w:val="18"/>
        </w:numPr>
        <w:autoSpaceDE w:val="0"/>
        <w:autoSpaceDN w:val="0"/>
        <w:adjustRightInd w:val="0"/>
        <w:spacing w:line="520" w:lineRule="exact"/>
        <w:ind w:leftChars="0"/>
        <w:rPr>
          <w:rFonts w:ascii="Calibri" w:eastAsia="標楷體" w:hAnsi="Calibri" w:cs="Times New Roman"/>
          <w:kern w:val="0"/>
          <w:sz w:val="32"/>
          <w:szCs w:val="32"/>
        </w:rPr>
      </w:pPr>
      <w:r w:rsidRPr="00C837F6">
        <w:rPr>
          <w:rFonts w:ascii="標楷體" w:eastAsia="標楷體" w:hAnsi="標楷體" w:cs="細明體" w:hint="eastAsia"/>
          <w:kern w:val="0"/>
          <w:sz w:val="32"/>
          <w:szCs w:val="32"/>
        </w:rPr>
        <w:t>其他有關事項。</w:t>
      </w:r>
    </w:p>
    <w:p w:rsidR="002E053F" w:rsidRPr="00C837F6" w:rsidRDefault="002E053F" w:rsidP="008421F2">
      <w:pPr>
        <w:numPr>
          <w:ilvl w:val="0"/>
          <w:numId w:val="17"/>
        </w:numPr>
        <w:spacing w:beforeLines="50" w:before="120" w:line="520" w:lineRule="exact"/>
        <w:ind w:left="482" w:hanging="482"/>
        <w:rPr>
          <w:rFonts w:eastAsia="標楷體"/>
          <w:kern w:val="0"/>
          <w:sz w:val="32"/>
          <w:szCs w:val="32"/>
        </w:rPr>
      </w:pPr>
      <w:r w:rsidRPr="00C837F6">
        <w:rPr>
          <w:rFonts w:eastAsia="標楷體" w:hAnsi="標楷體"/>
          <w:kern w:val="0"/>
          <w:sz w:val="32"/>
          <w:szCs w:val="32"/>
        </w:rPr>
        <w:t>本會受理車輛行車事故鑑定之案件如下：</w:t>
      </w:r>
    </w:p>
    <w:p w:rsidR="002E053F" w:rsidRPr="00C837F6" w:rsidRDefault="002E053F" w:rsidP="00DF7291">
      <w:pPr>
        <w:pStyle w:val="a3"/>
        <w:numPr>
          <w:ilvl w:val="1"/>
          <w:numId w:val="19"/>
        </w:numPr>
        <w:autoSpaceDE w:val="0"/>
        <w:autoSpaceDN w:val="0"/>
        <w:adjustRightInd w:val="0"/>
        <w:spacing w:line="520" w:lineRule="exact"/>
        <w:ind w:leftChars="0"/>
        <w:rPr>
          <w:rFonts w:eastAsia="標楷體"/>
          <w:kern w:val="0"/>
          <w:sz w:val="32"/>
          <w:szCs w:val="32"/>
        </w:rPr>
      </w:pPr>
      <w:r w:rsidRPr="00C837F6">
        <w:rPr>
          <w:rFonts w:eastAsia="標楷體" w:hAnsi="標楷體"/>
          <w:kern w:val="0"/>
          <w:sz w:val="32"/>
          <w:szCs w:val="32"/>
        </w:rPr>
        <w:t>經警察機關處理，並經行車事故當事人</w:t>
      </w:r>
      <w:r w:rsidRPr="00C837F6">
        <w:rPr>
          <w:rFonts w:eastAsia="標楷體" w:hAnsi="標楷體" w:hint="eastAsia"/>
          <w:kern w:val="0"/>
          <w:sz w:val="32"/>
          <w:szCs w:val="32"/>
        </w:rPr>
        <w:t>、</w:t>
      </w:r>
      <w:r w:rsidRPr="00C837F6">
        <w:rPr>
          <w:rFonts w:eastAsia="標楷體" w:hAnsi="標楷體"/>
          <w:kern w:val="0"/>
          <w:sz w:val="32"/>
          <w:szCs w:val="32"/>
        </w:rPr>
        <w:t>其繼承人或法定代理人、車輛所有人申請者。</w:t>
      </w:r>
    </w:p>
    <w:p w:rsidR="002E053F" w:rsidRPr="00C837F6" w:rsidRDefault="002E053F" w:rsidP="00DF7291">
      <w:pPr>
        <w:pStyle w:val="a3"/>
        <w:numPr>
          <w:ilvl w:val="1"/>
          <w:numId w:val="19"/>
        </w:numPr>
        <w:autoSpaceDE w:val="0"/>
        <w:autoSpaceDN w:val="0"/>
        <w:adjustRightInd w:val="0"/>
        <w:spacing w:line="520" w:lineRule="exact"/>
        <w:ind w:leftChars="0"/>
        <w:rPr>
          <w:rFonts w:eastAsia="標楷體"/>
          <w:kern w:val="0"/>
          <w:sz w:val="32"/>
          <w:szCs w:val="32"/>
        </w:rPr>
      </w:pPr>
      <w:r w:rsidRPr="00C837F6">
        <w:rPr>
          <w:rFonts w:eastAsia="標楷體" w:hAnsi="標楷體"/>
          <w:kern w:val="0"/>
          <w:sz w:val="32"/>
          <w:szCs w:val="32"/>
        </w:rPr>
        <w:t>經現場處理機關</w:t>
      </w:r>
      <w:proofErr w:type="gramStart"/>
      <w:r w:rsidRPr="00C837F6">
        <w:rPr>
          <w:rFonts w:eastAsia="標楷體" w:hAnsi="標楷體"/>
          <w:kern w:val="0"/>
          <w:sz w:val="32"/>
          <w:szCs w:val="32"/>
        </w:rPr>
        <w:t>移送或司</w:t>
      </w:r>
      <w:proofErr w:type="gramEnd"/>
      <w:r w:rsidRPr="00C837F6">
        <w:rPr>
          <w:rFonts w:eastAsia="標楷體"/>
          <w:kern w:val="0"/>
          <w:sz w:val="32"/>
          <w:szCs w:val="32"/>
        </w:rPr>
        <w:t>(</w:t>
      </w:r>
      <w:r w:rsidRPr="00C837F6">
        <w:rPr>
          <w:rFonts w:eastAsia="標楷體" w:hAnsi="標楷體"/>
          <w:kern w:val="0"/>
          <w:sz w:val="32"/>
          <w:szCs w:val="32"/>
        </w:rPr>
        <w:t>軍</w:t>
      </w:r>
      <w:r w:rsidRPr="00C837F6">
        <w:rPr>
          <w:rFonts w:eastAsia="標楷體"/>
          <w:kern w:val="0"/>
          <w:sz w:val="32"/>
          <w:szCs w:val="32"/>
        </w:rPr>
        <w:t>)</w:t>
      </w:r>
      <w:r w:rsidRPr="00C837F6">
        <w:rPr>
          <w:rFonts w:eastAsia="標楷體" w:hAnsi="標楷體"/>
          <w:kern w:val="0"/>
          <w:sz w:val="32"/>
          <w:szCs w:val="32"/>
        </w:rPr>
        <w:t>法機關囑託鑑定者。</w:t>
      </w:r>
    </w:p>
    <w:p w:rsidR="002E053F" w:rsidRPr="00C837F6" w:rsidRDefault="002E053F" w:rsidP="00DF7291">
      <w:pPr>
        <w:autoSpaceDE w:val="0"/>
        <w:autoSpaceDN w:val="0"/>
        <w:adjustRightInd w:val="0"/>
        <w:spacing w:line="520" w:lineRule="exact"/>
        <w:ind w:firstLineChars="200" w:firstLine="640"/>
        <w:rPr>
          <w:rFonts w:eastAsia="標楷體" w:hAnsi="標楷體"/>
          <w:kern w:val="0"/>
          <w:sz w:val="32"/>
          <w:szCs w:val="32"/>
        </w:rPr>
      </w:pPr>
      <w:r w:rsidRPr="00C837F6">
        <w:rPr>
          <w:rFonts w:eastAsia="標楷體" w:hAnsi="標楷體" w:hint="eastAsia"/>
          <w:kern w:val="0"/>
          <w:sz w:val="32"/>
          <w:szCs w:val="32"/>
        </w:rPr>
        <w:t>前項</w:t>
      </w:r>
      <w:r w:rsidRPr="00C837F6">
        <w:rPr>
          <w:rFonts w:eastAsia="標楷體" w:hAnsi="標楷體"/>
          <w:kern w:val="0"/>
          <w:sz w:val="32"/>
          <w:szCs w:val="32"/>
        </w:rPr>
        <w:t>案件有下列情事之一，不予受理鑑定：</w:t>
      </w:r>
    </w:p>
    <w:p w:rsidR="002E053F" w:rsidRPr="00C837F6" w:rsidRDefault="002E053F" w:rsidP="00DF7291">
      <w:pPr>
        <w:pStyle w:val="a3"/>
        <w:numPr>
          <w:ilvl w:val="1"/>
          <w:numId w:val="20"/>
        </w:numPr>
        <w:autoSpaceDE w:val="0"/>
        <w:autoSpaceDN w:val="0"/>
        <w:adjustRightInd w:val="0"/>
        <w:spacing w:line="520" w:lineRule="exact"/>
        <w:ind w:leftChars="0"/>
        <w:rPr>
          <w:rFonts w:eastAsia="標楷體"/>
          <w:kern w:val="0"/>
          <w:sz w:val="32"/>
          <w:szCs w:val="32"/>
        </w:rPr>
      </w:pPr>
      <w:r w:rsidRPr="00C837F6">
        <w:rPr>
          <w:rFonts w:eastAsia="標楷體" w:hAnsi="標楷體"/>
          <w:kern w:val="0"/>
          <w:sz w:val="32"/>
          <w:szCs w:val="32"/>
        </w:rPr>
        <w:t>案件</w:t>
      </w:r>
      <w:r w:rsidRPr="00C837F6">
        <w:rPr>
          <w:rFonts w:eastAsia="標楷體" w:hAnsi="標楷體" w:hint="eastAsia"/>
          <w:kern w:val="0"/>
          <w:sz w:val="32"/>
          <w:szCs w:val="32"/>
        </w:rPr>
        <w:t>已</w:t>
      </w:r>
      <w:r w:rsidRPr="00C837F6">
        <w:rPr>
          <w:rFonts w:eastAsia="標楷體" w:hAnsi="標楷體"/>
          <w:kern w:val="0"/>
          <w:sz w:val="32"/>
          <w:szCs w:val="32"/>
        </w:rPr>
        <w:t>進入司</w:t>
      </w:r>
      <w:r w:rsidRPr="00C837F6">
        <w:rPr>
          <w:rFonts w:eastAsia="標楷體"/>
          <w:kern w:val="0"/>
          <w:sz w:val="32"/>
          <w:szCs w:val="32"/>
        </w:rPr>
        <w:t>(</w:t>
      </w:r>
      <w:r w:rsidRPr="00C837F6">
        <w:rPr>
          <w:rFonts w:eastAsia="標楷體" w:hAnsi="標楷體"/>
          <w:kern w:val="0"/>
          <w:sz w:val="32"/>
          <w:szCs w:val="32"/>
        </w:rPr>
        <w:t>軍</w:t>
      </w:r>
      <w:r w:rsidRPr="00C837F6">
        <w:rPr>
          <w:rFonts w:eastAsia="標楷體"/>
          <w:kern w:val="0"/>
          <w:sz w:val="32"/>
          <w:szCs w:val="32"/>
        </w:rPr>
        <w:t>)</w:t>
      </w:r>
      <w:r w:rsidRPr="00C837F6">
        <w:rPr>
          <w:rFonts w:eastAsia="標楷體" w:hAnsi="標楷體"/>
          <w:kern w:val="0"/>
          <w:sz w:val="32"/>
          <w:szCs w:val="32"/>
        </w:rPr>
        <w:t>法機關訴訟程序中，且未經各該司</w:t>
      </w:r>
      <w:r w:rsidRPr="00C837F6">
        <w:rPr>
          <w:rFonts w:eastAsia="標楷體"/>
          <w:kern w:val="0"/>
          <w:sz w:val="32"/>
          <w:szCs w:val="32"/>
        </w:rPr>
        <w:t>(</w:t>
      </w:r>
      <w:r w:rsidRPr="00C837F6">
        <w:rPr>
          <w:rFonts w:eastAsia="標楷體" w:hAnsi="標楷體"/>
          <w:kern w:val="0"/>
          <w:sz w:val="32"/>
          <w:szCs w:val="32"/>
        </w:rPr>
        <w:t>軍</w:t>
      </w:r>
      <w:r w:rsidRPr="00C837F6">
        <w:rPr>
          <w:rFonts w:eastAsia="標楷體"/>
          <w:kern w:val="0"/>
          <w:sz w:val="32"/>
          <w:szCs w:val="32"/>
        </w:rPr>
        <w:t>)</w:t>
      </w:r>
      <w:r w:rsidRPr="00C837F6">
        <w:rPr>
          <w:rFonts w:eastAsia="標楷體" w:hAnsi="標楷體"/>
          <w:kern w:val="0"/>
          <w:sz w:val="32"/>
          <w:szCs w:val="32"/>
        </w:rPr>
        <w:t>法機關囑託者。</w:t>
      </w:r>
    </w:p>
    <w:p w:rsidR="002E053F" w:rsidRPr="00C837F6" w:rsidRDefault="002E053F" w:rsidP="00DF7291">
      <w:pPr>
        <w:pStyle w:val="a3"/>
        <w:numPr>
          <w:ilvl w:val="1"/>
          <w:numId w:val="20"/>
        </w:numPr>
        <w:autoSpaceDE w:val="0"/>
        <w:autoSpaceDN w:val="0"/>
        <w:adjustRightInd w:val="0"/>
        <w:spacing w:line="520" w:lineRule="exact"/>
        <w:ind w:leftChars="0"/>
        <w:rPr>
          <w:rFonts w:eastAsia="標楷體"/>
          <w:kern w:val="0"/>
          <w:sz w:val="32"/>
          <w:szCs w:val="32"/>
        </w:rPr>
      </w:pPr>
      <w:r w:rsidRPr="00C837F6">
        <w:rPr>
          <w:rFonts w:eastAsia="標楷體" w:hAnsi="標楷體"/>
          <w:kern w:val="0"/>
          <w:sz w:val="32"/>
          <w:szCs w:val="32"/>
        </w:rPr>
        <w:t>當事人申請或警</w:t>
      </w:r>
      <w:r w:rsidRPr="00C837F6">
        <w:rPr>
          <w:rFonts w:eastAsia="標楷體"/>
          <w:kern w:val="0"/>
          <w:sz w:val="32"/>
          <w:szCs w:val="32"/>
        </w:rPr>
        <w:t>(</w:t>
      </w:r>
      <w:r w:rsidRPr="00C837F6">
        <w:rPr>
          <w:rFonts w:eastAsia="標楷體" w:hAnsi="標楷體"/>
          <w:kern w:val="0"/>
          <w:sz w:val="32"/>
          <w:szCs w:val="32"/>
        </w:rPr>
        <w:t>憲</w:t>
      </w:r>
      <w:r w:rsidRPr="00C837F6">
        <w:rPr>
          <w:rFonts w:eastAsia="標楷體"/>
          <w:kern w:val="0"/>
          <w:sz w:val="32"/>
          <w:szCs w:val="32"/>
        </w:rPr>
        <w:t>)</w:t>
      </w:r>
      <w:r w:rsidRPr="00C837F6">
        <w:rPr>
          <w:rFonts w:eastAsia="標楷體" w:hAnsi="標楷體"/>
          <w:kern w:val="0"/>
          <w:sz w:val="32"/>
          <w:szCs w:val="32"/>
        </w:rPr>
        <w:t>機關移送之案件距肇事日期逾六個月以上。但因天災或其他不可歸責之事由而遲誤該期限者，不在此限。</w:t>
      </w:r>
    </w:p>
    <w:p w:rsidR="002E053F" w:rsidRPr="00C837F6" w:rsidRDefault="002E053F" w:rsidP="00DF7291">
      <w:pPr>
        <w:pStyle w:val="a3"/>
        <w:numPr>
          <w:ilvl w:val="1"/>
          <w:numId w:val="20"/>
        </w:numPr>
        <w:autoSpaceDE w:val="0"/>
        <w:autoSpaceDN w:val="0"/>
        <w:adjustRightInd w:val="0"/>
        <w:spacing w:line="520" w:lineRule="exact"/>
        <w:ind w:leftChars="0"/>
        <w:rPr>
          <w:rFonts w:eastAsia="標楷體"/>
          <w:kern w:val="0"/>
          <w:sz w:val="32"/>
          <w:szCs w:val="32"/>
        </w:rPr>
      </w:pPr>
      <w:r w:rsidRPr="00C837F6">
        <w:rPr>
          <w:rFonts w:eastAsia="標楷體" w:hAnsi="標楷體"/>
          <w:kern w:val="0"/>
          <w:sz w:val="32"/>
          <w:szCs w:val="32"/>
        </w:rPr>
        <w:t>非屬道路交通管理處罰條例第三條第一款所指道路範圍之行車事故案件。</w:t>
      </w:r>
    </w:p>
    <w:p w:rsidR="002E053F" w:rsidRPr="00C837F6" w:rsidRDefault="002E053F" w:rsidP="00DF7291">
      <w:pPr>
        <w:pStyle w:val="a3"/>
        <w:numPr>
          <w:ilvl w:val="1"/>
          <w:numId w:val="20"/>
        </w:numPr>
        <w:autoSpaceDE w:val="0"/>
        <w:autoSpaceDN w:val="0"/>
        <w:adjustRightInd w:val="0"/>
        <w:spacing w:line="520" w:lineRule="exact"/>
        <w:ind w:leftChars="0"/>
        <w:rPr>
          <w:rFonts w:eastAsia="標楷體" w:hAnsi="Calibri"/>
          <w:kern w:val="0"/>
          <w:sz w:val="32"/>
          <w:szCs w:val="32"/>
        </w:rPr>
      </w:pPr>
      <w:r w:rsidRPr="00C837F6">
        <w:rPr>
          <w:rFonts w:eastAsia="標楷體" w:hAnsi="標楷體"/>
          <w:kern w:val="0"/>
          <w:sz w:val="32"/>
          <w:szCs w:val="32"/>
        </w:rPr>
        <w:t>已鑑定之行車事故案件。</w:t>
      </w:r>
    </w:p>
    <w:p w:rsidR="002E053F" w:rsidRPr="00C837F6" w:rsidRDefault="00E0133A" w:rsidP="008421F2">
      <w:pPr>
        <w:numPr>
          <w:ilvl w:val="0"/>
          <w:numId w:val="17"/>
        </w:numPr>
        <w:spacing w:beforeLines="50" w:before="120" w:line="520" w:lineRule="exact"/>
        <w:ind w:left="658" w:hanging="658"/>
        <w:rPr>
          <w:rFonts w:eastAsia="標楷體" w:hAnsi="標楷體"/>
          <w:sz w:val="32"/>
          <w:szCs w:val="32"/>
        </w:rPr>
      </w:pPr>
      <w:r>
        <w:rPr>
          <w:rFonts w:eastAsia="標楷體" w:hAnsi="標楷體" w:hint="eastAsia"/>
          <w:sz w:val="32"/>
          <w:szCs w:val="32"/>
        </w:rPr>
        <w:t>本</w:t>
      </w:r>
      <w:r w:rsidR="002E053F" w:rsidRPr="00C837F6">
        <w:rPr>
          <w:rFonts w:eastAsia="標楷體" w:hAnsi="標楷體"/>
          <w:sz w:val="32"/>
          <w:szCs w:val="32"/>
        </w:rPr>
        <w:t>會置委員</w:t>
      </w:r>
      <w:r w:rsidR="002E053F" w:rsidRPr="00C837F6">
        <w:rPr>
          <w:rFonts w:eastAsia="標楷體" w:hAnsi="標楷體" w:hint="eastAsia"/>
          <w:sz w:val="32"/>
          <w:szCs w:val="32"/>
        </w:rPr>
        <w:t>九</w:t>
      </w:r>
      <w:r w:rsidR="002E053F" w:rsidRPr="00C837F6">
        <w:rPr>
          <w:rFonts w:eastAsia="標楷體" w:hAnsi="標楷體"/>
          <w:sz w:val="32"/>
          <w:szCs w:val="32"/>
        </w:rPr>
        <w:t>人至十</w:t>
      </w:r>
      <w:r w:rsidR="002E053F" w:rsidRPr="00C837F6">
        <w:rPr>
          <w:rFonts w:eastAsia="標楷體" w:hAnsi="標楷體" w:hint="eastAsia"/>
          <w:sz w:val="32"/>
          <w:szCs w:val="32"/>
        </w:rPr>
        <w:t>一</w:t>
      </w:r>
      <w:r w:rsidR="002E053F" w:rsidRPr="00C837F6">
        <w:rPr>
          <w:rFonts w:eastAsia="標楷體" w:hAnsi="標楷體"/>
          <w:sz w:val="32"/>
          <w:szCs w:val="32"/>
        </w:rPr>
        <w:t>人，其中</w:t>
      </w:r>
      <w:proofErr w:type="gramStart"/>
      <w:r w:rsidR="002E053F" w:rsidRPr="00C837F6">
        <w:rPr>
          <w:rFonts w:eastAsia="標楷體" w:hAnsi="標楷體"/>
          <w:sz w:val="32"/>
          <w:szCs w:val="32"/>
        </w:rPr>
        <w:t>一</w:t>
      </w:r>
      <w:proofErr w:type="gramEnd"/>
      <w:r w:rsidR="002E053F" w:rsidRPr="00C837F6">
        <w:rPr>
          <w:rFonts w:eastAsia="標楷體" w:hAnsi="標楷體"/>
          <w:sz w:val="32"/>
          <w:szCs w:val="32"/>
        </w:rPr>
        <w:t>人為主任委員，</w:t>
      </w:r>
      <w:r w:rsidR="002E053F" w:rsidRPr="00C837F6">
        <w:rPr>
          <w:rFonts w:eastAsia="標楷體" w:hAnsi="標楷體" w:hint="eastAsia"/>
          <w:sz w:val="32"/>
          <w:szCs w:val="32"/>
        </w:rPr>
        <w:t>由本府交通局肇事鑑定科</w:t>
      </w:r>
      <w:r w:rsidR="002E053F" w:rsidRPr="00C837F6">
        <w:rPr>
          <w:rFonts w:eastAsia="標楷體" w:hAnsi="標楷體" w:hint="eastAsia"/>
          <w:sz w:val="32"/>
          <w:szCs w:val="32"/>
        </w:rPr>
        <w:t>(</w:t>
      </w:r>
      <w:r w:rsidR="002E053F" w:rsidRPr="00C837F6">
        <w:rPr>
          <w:rFonts w:eastAsia="標楷體" w:hAnsi="標楷體" w:hint="eastAsia"/>
          <w:sz w:val="32"/>
          <w:szCs w:val="32"/>
        </w:rPr>
        <w:t>以下簡稱鑑定科</w:t>
      </w:r>
      <w:r w:rsidR="002E053F" w:rsidRPr="00C837F6">
        <w:rPr>
          <w:rFonts w:eastAsia="標楷體" w:hAnsi="標楷體" w:hint="eastAsia"/>
          <w:sz w:val="32"/>
          <w:szCs w:val="32"/>
        </w:rPr>
        <w:t>)</w:t>
      </w:r>
      <w:r w:rsidR="002E053F" w:rsidRPr="00C837F6">
        <w:rPr>
          <w:rFonts w:eastAsia="標楷體" w:hAnsi="標楷體" w:hint="eastAsia"/>
          <w:sz w:val="32"/>
          <w:szCs w:val="32"/>
        </w:rPr>
        <w:t>科長兼任，其</w:t>
      </w:r>
      <w:r w:rsidR="002E053F" w:rsidRPr="00C837F6">
        <w:rPr>
          <w:rFonts w:eastAsia="標楷體" w:hAnsi="標楷體"/>
          <w:sz w:val="32"/>
          <w:szCs w:val="32"/>
        </w:rPr>
        <w:t>餘</w:t>
      </w:r>
      <w:r w:rsidR="002E053F" w:rsidRPr="00C837F6">
        <w:rPr>
          <w:rFonts w:eastAsia="標楷體" w:hAnsi="標楷體" w:hint="eastAsia"/>
          <w:sz w:val="32"/>
          <w:szCs w:val="32"/>
        </w:rPr>
        <w:t>委員</w:t>
      </w:r>
      <w:r w:rsidR="002E053F" w:rsidRPr="00C837F6">
        <w:rPr>
          <w:rFonts w:eastAsia="標楷體" w:hAnsi="標楷體"/>
          <w:sz w:val="32"/>
          <w:szCs w:val="32"/>
        </w:rPr>
        <w:t>由</w:t>
      </w:r>
      <w:r w:rsidR="002E053F" w:rsidRPr="00C837F6">
        <w:rPr>
          <w:rFonts w:eastAsia="標楷體" w:hAnsi="標楷體" w:hint="eastAsia"/>
          <w:sz w:val="32"/>
          <w:szCs w:val="32"/>
        </w:rPr>
        <w:t>本府</w:t>
      </w:r>
      <w:r w:rsidR="002E053F" w:rsidRPr="00C837F6">
        <w:rPr>
          <w:rFonts w:eastAsia="標楷體" w:hAnsi="標楷體"/>
          <w:sz w:val="32"/>
          <w:szCs w:val="32"/>
        </w:rPr>
        <w:t>交通局就具下列專長</w:t>
      </w:r>
      <w:r w:rsidR="002E053F" w:rsidRPr="00C837F6">
        <w:rPr>
          <w:rFonts w:eastAsia="標楷體" w:hAnsi="標楷體" w:hint="eastAsia"/>
          <w:sz w:val="32"/>
          <w:szCs w:val="32"/>
        </w:rPr>
        <w:t>之人員聘</w:t>
      </w:r>
      <w:r w:rsidR="002E053F" w:rsidRPr="00C837F6">
        <w:rPr>
          <w:rFonts w:eastAsia="標楷體" w:hAnsi="標楷體" w:hint="eastAsia"/>
          <w:sz w:val="32"/>
          <w:szCs w:val="32"/>
        </w:rPr>
        <w:t>(</w:t>
      </w:r>
      <w:r w:rsidR="002E053F" w:rsidRPr="00C837F6">
        <w:rPr>
          <w:rFonts w:eastAsia="標楷體" w:hAnsi="標楷體" w:hint="eastAsia"/>
          <w:sz w:val="32"/>
          <w:szCs w:val="32"/>
        </w:rPr>
        <w:t>派</w:t>
      </w:r>
      <w:r w:rsidR="002E053F" w:rsidRPr="00C837F6">
        <w:rPr>
          <w:rFonts w:eastAsia="標楷體" w:hAnsi="標楷體" w:hint="eastAsia"/>
          <w:sz w:val="32"/>
          <w:szCs w:val="32"/>
        </w:rPr>
        <w:t>)</w:t>
      </w:r>
      <w:r w:rsidR="002E053F" w:rsidRPr="00C837F6">
        <w:rPr>
          <w:rFonts w:eastAsia="標楷體" w:hAnsi="標楷體"/>
          <w:sz w:val="32"/>
          <w:szCs w:val="32"/>
        </w:rPr>
        <w:t>之，其中</w:t>
      </w:r>
      <w:r w:rsidR="002E053F" w:rsidRPr="00C837F6">
        <w:rPr>
          <w:rFonts w:eastAsia="標楷體" w:hAnsi="標楷體" w:hint="eastAsia"/>
          <w:sz w:val="32"/>
          <w:szCs w:val="32"/>
        </w:rPr>
        <w:t>專家、</w:t>
      </w:r>
      <w:r w:rsidR="002E053F" w:rsidRPr="00C837F6">
        <w:rPr>
          <w:rFonts w:eastAsia="標楷體" w:hAnsi="標楷體"/>
          <w:sz w:val="32"/>
          <w:szCs w:val="32"/>
        </w:rPr>
        <w:t>學者人數不得少於委員總數二分之一：</w:t>
      </w:r>
    </w:p>
    <w:p w:rsidR="002E053F" w:rsidRPr="00C837F6" w:rsidRDefault="002E053F" w:rsidP="00DF7291">
      <w:pPr>
        <w:pStyle w:val="a3"/>
        <w:numPr>
          <w:ilvl w:val="1"/>
          <w:numId w:val="21"/>
        </w:numPr>
        <w:autoSpaceDE w:val="0"/>
        <w:autoSpaceDN w:val="0"/>
        <w:adjustRightInd w:val="0"/>
        <w:spacing w:line="520" w:lineRule="exact"/>
        <w:ind w:leftChars="0"/>
        <w:rPr>
          <w:rFonts w:ascii="Times New Roman" w:eastAsia="標楷體" w:hAnsi="Times New Roman"/>
          <w:sz w:val="32"/>
          <w:szCs w:val="32"/>
        </w:rPr>
      </w:pPr>
      <w:r w:rsidRPr="00C837F6">
        <w:rPr>
          <w:rFonts w:eastAsia="標楷體" w:hAnsi="標楷體"/>
          <w:kern w:val="0"/>
          <w:sz w:val="32"/>
          <w:szCs w:val="32"/>
        </w:rPr>
        <w:lastRenderedPageBreak/>
        <w:t>具備</w:t>
      </w:r>
      <w:r w:rsidRPr="00C837F6">
        <w:rPr>
          <w:rFonts w:ascii="Times New Roman" w:eastAsia="標楷體" w:hAnsi="標楷體"/>
          <w:sz w:val="32"/>
          <w:szCs w:val="32"/>
        </w:rPr>
        <w:t>行車事故鑑定相關領域之專業技術及能力</w:t>
      </w:r>
      <w:r w:rsidRPr="00C837F6">
        <w:rPr>
          <w:rFonts w:ascii="Times New Roman" w:eastAsia="標楷體" w:hAnsi="標楷體" w:hint="eastAsia"/>
          <w:sz w:val="32"/>
          <w:szCs w:val="32"/>
        </w:rPr>
        <w:t>者，</w:t>
      </w:r>
      <w:proofErr w:type="gramStart"/>
      <w:r w:rsidRPr="00C837F6">
        <w:rPr>
          <w:rFonts w:ascii="Times New Roman" w:eastAsia="標楷體" w:hAnsi="標楷體"/>
          <w:sz w:val="32"/>
          <w:szCs w:val="32"/>
        </w:rPr>
        <w:t>足被公眾</w:t>
      </w:r>
      <w:proofErr w:type="gramEnd"/>
      <w:r w:rsidRPr="00C837F6">
        <w:rPr>
          <w:rFonts w:ascii="Times New Roman" w:eastAsia="標楷體" w:hAnsi="標楷體"/>
          <w:sz w:val="32"/>
          <w:szCs w:val="32"/>
        </w:rPr>
        <w:t>信賴之人員。</w:t>
      </w:r>
    </w:p>
    <w:p w:rsidR="002E053F" w:rsidRPr="00C837F6" w:rsidRDefault="002E053F" w:rsidP="00DF7291">
      <w:pPr>
        <w:pStyle w:val="a3"/>
        <w:numPr>
          <w:ilvl w:val="1"/>
          <w:numId w:val="21"/>
        </w:numPr>
        <w:autoSpaceDE w:val="0"/>
        <w:autoSpaceDN w:val="0"/>
        <w:adjustRightInd w:val="0"/>
        <w:spacing w:line="520" w:lineRule="exact"/>
        <w:ind w:leftChars="0"/>
        <w:rPr>
          <w:rFonts w:ascii="Times New Roman" w:eastAsia="標楷體" w:hAnsi="Times New Roman"/>
          <w:sz w:val="32"/>
          <w:szCs w:val="32"/>
        </w:rPr>
      </w:pPr>
      <w:r w:rsidRPr="00C837F6">
        <w:rPr>
          <w:rFonts w:ascii="Times New Roman" w:eastAsia="標楷體" w:hAnsi="標楷體"/>
          <w:sz w:val="32"/>
          <w:szCs w:val="32"/>
        </w:rPr>
        <w:t>具法制專長且為現任或曾任法制實務工作之專家。</w:t>
      </w:r>
    </w:p>
    <w:p w:rsidR="002E053F" w:rsidRPr="00C837F6" w:rsidRDefault="002E053F" w:rsidP="00DF7291">
      <w:pPr>
        <w:pStyle w:val="a3"/>
        <w:numPr>
          <w:ilvl w:val="1"/>
          <w:numId w:val="21"/>
        </w:numPr>
        <w:autoSpaceDE w:val="0"/>
        <w:autoSpaceDN w:val="0"/>
        <w:adjustRightInd w:val="0"/>
        <w:spacing w:line="520" w:lineRule="exact"/>
        <w:ind w:leftChars="0"/>
        <w:rPr>
          <w:rFonts w:ascii="Times New Roman" w:eastAsia="標楷體" w:hAnsi="Times New Roman"/>
          <w:sz w:val="32"/>
          <w:szCs w:val="32"/>
        </w:rPr>
      </w:pPr>
      <w:r w:rsidRPr="00C837F6">
        <w:rPr>
          <w:rFonts w:ascii="Times New Roman" w:eastAsia="標楷體" w:hAnsi="標楷體"/>
          <w:sz w:val="32"/>
          <w:szCs w:val="32"/>
        </w:rPr>
        <w:t>現任或曾任公、私立高級中等學校、大專校院，具交通管理、交通工程、道路工程、汽車工程、機械工程或法律專長之專（兼）任教師。</w:t>
      </w:r>
    </w:p>
    <w:p w:rsidR="002E053F" w:rsidRPr="00C837F6" w:rsidRDefault="002E053F" w:rsidP="008421F2">
      <w:pPr>
        <w:spacing w:line="520" w:lineRule="exact"/>
        <w:ind w:left="658"/>
        <w:rPr>
          <w:rFonts w:eastAsia="標楷體" w:hAnsi="標楷體"/>
          <w:sz w:val="32"/>
          <w:szCs w:val="32"/>
        </w:rPr>
      </w:pPr>
      <w:r w:rsidRPr="00C837F6">
        <w:rPr>
          <w:rFonts w:eastAsia="標楷體" w:hAnsi="標楷體" w:hint="eastAsia"/>
          <w:sz w:val="32"/>
          <w:szCs w:val="32"/>
        </w:rPr>
        <w:t>前項</w:t>
      </w:r>
      <w:r w:rsidRPr="00C837F6">
        <w:rPr>
          <w:rFonts w:eastAsia="標楷體" w:hAnsi="標楷體"/>
          <w:sz w:val="32"/>
          <w:szCs w:val="32"/>
        </w:rPr>
        <w:t>委員任期為二年，期滿得續聘</w:t>
      </w:r>
      <w:r w:rsidRPr="00C837F6">
        <w:rPr>
          <w:rFonts w:eastAsia="標楷體" w:hAnsi="標楷體" w:hint="eastAsia"/>
          <w:sz w:val="32"/>
          <w:szCs w:val="32"/>
        </w:rPr>
        <w:t>(</w:t>
      </w:r>
      <w:r w:rsidRPr="00C837F6">
        <w:rPr>
          <w:rFonts w:eastAsia="標楷體" w:hAnsi="標楷體" w:hint="eastAsia"/>
          <w:sz w:val="32"/>
          <w:szCs w:val="32"/>
        </w:rPr>
        <w:t>派</w:t>
      </w:r>
      <w:r w:rsidRPr="00C837F6">
        <w:rPr>
          <w:rFonts w:eastAsia="標楷體" w:hAnsi="標楷體" w:hint="eastAsia"/>
          <w:sz w:val="32"/>
          <w:szCs w:val="32"/>
        </w:rPr>
        <w:t>)</w:t>
      </w:r>
      <w:r w:rsidRPr="00C837F6">
        <w:rPr>
          <w:rFonts w:eastAsia="標楷體" w:hAnsi="標楷體"/>
          <w:sz w:val="32"/>
          <w:szCs w:val="32"/>
        </w:rPr>
        <w:t>之</w:t>
      </w:r>
      <w:r w:rsidRPr="00C837F6">
        <w:rPr>
          <w:rFonts w:eastAsia="標楷體" w:hAnsi="標楷體" w:hint="eastAsia"/>
          <w:sz w:val="32"/>
          <w:szCs w:val="32"/>
        </w:rPr>
        <w:t>；</w:t>
      </w:r>
      <w:r w:rsidRPr="00C837F6">
        <w:rPr>
          <w:rFonts w:eastAsia="標楷體" w:hAnsi="標楷體"/>
          <w:sz w:val="32"/>
          <w:szCs w:val="32"/>
        </w:rPr>
        <w:t>任期內出缺時</w:t>
      </w:r>
      <w:proofErr w:type="gramStart"/>
      <w:r w:rsidRPr="00C837F6">
        <w:rPr>
          <w:rFonts w:eastAsia="標楷體" w:hAnsi="標楷體"/>
          <w:sz w:val="32"/>
          <w:szCs w:val="32"/>
        </w:rPr>
        <w:t>得補聘之</w:t>
      </w:r>
      <w:proofErr w:type="gramEnd"/>
      <w:r w:rsidRPr="00C837F6">
        <w:rPr>
          <w:rFonts w:eastAsia="標楷體" w:hAnsi="標楷體"/>
          <w:sz w:val="32"/>
          <w:szCs w:val="32"/>
        </w:rPr>
        <w:t>，其任期至原任期屆滿之日止</w:t>
      </w:r>
      <w:r w:rsidRPr="00C837F6">
        <w:rPr>
          <w:rFonts w:eastAsia="標楷體" w:hAnsi="標楷體" w:hint="eastAsia"/>
          <w:sz w:val="32"/>
          <w:szCs w:val="32"/>
        </w:rPr>
        <w:t>。代表機關或團體出任者，應隨其本職進退。</w:t>
      </w:r>
    </w:p>
    <w:p w:rsidR="002E053F" w:rsidRPr="00C837F6" w:rsidRDefault="002E053F" w:rsidP="008421F2">
      <w:pPr>
        <w:spacing w:line="520" w:lineRule="exact"/>
        <w:ind w:left="658"/>
        <w:rPr>
          <w:rFonts w:ascii="標楷體" w:eastAsia="標楷體" w:hAnsi="標楷體"/>
          <w:kern w:val="0"/>
          <w:sz w:val="32"/>
          <w:szCs w:val="32"/>
        </w:rPr>
      </w:pPr>
      <w:r w:rsidRPr="00C837F6">
        <w:rPr>
          <w:rFonts w:eastAsia="標楷體" w:hAnsi="標楷體" w:hint="eastAsia"/>
          <w:sz w:val="32"/>
          <w:szCs w:val="32"/>
        </w:rPr>
        <w:t>任</w:t>
      </w:r>
      <w:proofErr w:type="gramStart"/>
      <w:r w:rsidRPr="00C837F6">
        <w:rPr>
          <w:rFonts w:eastAsia="標楷體" w:hAnsi="標楷體" w:hint="eastAsia"/>
          <w:sz w:val="32"/>
          <w:szCs w:val="32"/>
        </w:rPr>
        <w:t>一</w:t>
      </w:r>
      <w:proofErr w:type="gramEnd"/>
      <w:r w:rsidRPr="00C837F6">
        <w:rPr>
          <w:rFonts w:eastAsia="標楷體" w:hAnsi="標楷體" w:hint="eastAsia"/>
          <w:sz w:val="32"/>
          <w:szCs w:val="32"/>
        </w:rPr>
        <w:t>性別委員之比例以不低於委員全體總數三分之一為原則。</w:t>
      </w:r>
    </w:p>
    <w:p w:rsidR="002E053F" w:rsidRPr="00C837F6" w:rsidRDefault="002E053F" w:rsidP="008421F2">
      <w:pPr>
        <w:pStyle w:val="a3"/>
        <w:numPr>
          <w:ilvl w:val="0"/>
          <w:numId w:val="17"/>
        </w:numPr>
        <w:spacing w:beforeLines="50" w:before="120" w:line="520" w:lineRule="exact"/>
        <w:ind w:leftChars="0" w:left="658" w:hanging="658"/>
        <w:rPr>
          <w:rFonts w:ascii="標楷體" w:eastAsia="標楷體" w:hAnsi="標楷體"/>
          <w:kern w:val="0"/>
          <w:sz w:val="32"/>
          <w:szCs w:val="32"/>
        </w:rPr>
      </w:pPr>
      <w:r w:rsidRPr="00C837F6">
        <w:rPr>
          <w:rFonts w:eastAsia="標楷體" w:hAnsi="標楷體"/>
          <w:sz w:val="32"/>
          <w:szCs w:val="32"/>
        </w:rPr>
        <w:t>本會置</w:t>
      </w:r>
      <w:r w:rsidRPr="00C837F6">
        <w:rPr>
          <w:rFonts w:eastAsia="標楷體" w:hAnsi="標楷體" w:hint="eastAsia"/>
          <w:sz w:val="32"/>
          <w:szCs w:val="32"/>
        </w:rPr>
        <w:t>總幹事</w:t>
      </w:r>
      <w:r w:rsidRPr="00C837F6">
        <w:rPr>
          <w:rFonts w:eastAsia="標楷體" w:hAnsi="標楷體"/>
          <w:sz w:val="32"/>
          <w:szCs w:val="32"/>
        </w:rPr>
        <w:t>一人，由</w:t>
      </w:r>
      <w:r w:rsidRPr="00C837F6">
        <w:rPr>
          <w:rFonts w:eastAsia="標楷體" w:hAnsi="標楷體" w:hint="eastAsia"/>
          <w:sz w:val="32"/>
          <w:szCs w:val="32"/>
        </w:rPr>
        <w:t>鑑定科</w:t>
      </w:r>
      <w:r w:rsidRPr="00C837F6">
        <w:rPr>
          <w:rFonts w:eastAsia="標楷體" w:hAnsi="標楷體"/>
          <w:sz w:val="32"/>
          <w:szCs w:val="32"/>
        </w:rPr>
        <w:t>指派適當人選兼任，承主任委員之命，處理會務；置幹事</w:t>
      </w:r>
      <w:r w:rsidRPr="00C837F6">
        <w:rPr>
          <w:rFonts w:eastAsia="標楷體" w:hAnsi="標楷體" w:hint="eastAsia"/>
          <w:sz w:val="32"/>
          <w:szCs w:val="32"/>
        </w:rPr>
        <w:t>三人</w:t>
      </w:r>
      <w:r w:rsidRPr="00C837F6">
        <w:rPr>
          <w:rFonts w:eastAsia="標楷體" w:hAnsi="標楷體"/>
          <w:sz w:val="32"/>
          <w:szCs w:val="32"/>
        </w:rPr>
        <w:t>至</w:t>
      </w:r>
      <w:r w:rsidRPr="00C837F6">
        <w:rPr>
          <w:rFonts w:eastAsia="標楷體" w:hAnsi="標楷體" w:hint="eastAsia"/>
          <w:sz w:val="32"/>
          <w:szCs w:val="32"/>
        </w:rPr>
        <w:t>六</w:t>
      </w:r>
      <w:r w:rsidRPr="00C837F6">
        <w:rPr>
          <w:rFonts w:eastAsia="標楷體" w:hAnsi="標楷體"/>
          <w:sz w:val="32"/>
          <w:szCs w:val="32"/>
        </w:rPr>
        <w:t>人，由</w:t>
      </w:r>
      <w:r w:rsidRPr="00C837F6">
        <w:rPr>
          <w:rFonts w:eastAsia="標楷體" w:hAnsi="標楷體" w:hint="eastAsia"/>
          <w:sz w:val="32"/>
          <w:szCs w:val="32"/>
        </w:rPr>
        <w:t>鑑定科</w:t>
      </w:r>
      <w:r w:rsidRPr="00C837F6">
        <w:rPr>
          <w:rFonts w:eastAsia="標楷體" w:hAnsi="標楷體"/>
          <w:sz w:val="32"/>
          <w:szCs w:val="32"/>
        </w:rPr>
        <w:t>派員兼任，襄助</w:t>
      </w:r>
      <w:r w:rsidRPr="00C837F6">
        <w:rPr>
          <w:rFonts w:eastAsia="標楷體" w:hAnsi="標楷體" w:hint="eastAsia"/>
          <w:sz w:val="32"/>
          <w:szCs w:val="32"/>
        </w:rPr>
        <w:t>總幹事</w:t>
      </w:r>
      <w:r w:rsidRPr="00C837F6">
        <w:rPr>
          <w:rFonts w:eastAsia="標楷體" w:hAnsi="標楷體"/>
          <w:sz w:val="32"/>
          <w:szCs w:val="32"/>
        </w:rPr>
        <w:t>處理各項業務。</w:t>
      </w:r>
    </w:p>
    <w:p w:rsidR="006611BA" w:rsidRPr="00C837F6" w:rsidRDefault="006611BA" w:rsidP="008421F2">
      <w:pPr>
        <w:numPr>
          <w:ilvl w:val="0"/>
          <w:numId w:val="17"/>
        </w:numPr>
        <w:spacing w:beforeLines="50" w:before="120" w:line="520" w:lineRule="exact"/>
        <w:ind w:left="675" w:hanging="675"/>
        <w:rPr>
          <w:rFonts w:eastAsia="標楷體" w:hAnsi="標楷體"/>
          <w:sz w:val="32"/>
          <w:szCs w:val="32"/>
        </w:rPr>
      </w:pPr>
      <w:r w:rsidRPr="00C837F6">
        <w:rPr>
          <w:rFonts w:eastAsia="標楷體" w:hAnsi="標楷體"/>
          <w:sz w:val="32"/>
          <w:szCs w:val="32"/>
        </w:rPr>
        <w:t>本會每週開會一次為原則，必要時得召開臨時會</w:t>
      </w:r>
      <w:r w:rsidRPr="00C837F6">
        <w:rPr>
          <w:rFonts w:eastAsia="標楷體" w:hAnsi="標楷體" w:hint="eastAsia"/>
          <w:sz w:val="32"/>
          <w:szCs w:val="32"/>
        </w:rPr>
        <w:t>；會議由主任委員召集並為主席，主任委員因故不能出席時，由出席委員互選一人擔任主席。</w:t>
      </w:r>
    </w:p>
    <w:p w:rsidR="006611BA" w:rsidRPr="00C837F6" w:rsidRDefault="006611BA" w:rsidP="008421F2">
      <w:pPr>
        <w:spacing w:line="520" w:lineRule="exact"/>
        <w:ind w:leftChars="266" w:left="654" w:hangingChars="5" w:hanging="16"/>
        <w:rPr>
          <w:rFonts w:eastAsia="標楷體" w:hAnsi="標楷體"/>
          <w:sz w:val="32"/>
          <w:szCs w:val="32"/>
        </w:rPr>
      </w:pPr>
      <w:r w:rsidRPr="00C837F6">
        <w:rPr>
          <w:rFonts w:eastAsia="標楷體" w:hAnsi="標楷體" w:hint="eastAsia"/>
          <w:sz w:val="32"/>
          <w:szCs w:val="32"/>
        </w:rPr>
        <w:t>前項會議應有委員總數二分之一以上出席，決議事項應經出席委員過半數之同意。</w:t>
      </w:r>
    </w:p>
    <w:p w:rsidR="002E053F" w:rsidRPr="00C837F6" w:rsidRDefault="006611BA" w:rsidP="008421F2">
      <w:pPr>
        <w:spacing w:line="520" w:lineRule="exact"/>
        <w:ind w:leftChars="262" w:left="629" w:firstLineChars="3" w:firstLine="10"/>
        <w:rPr>
          <w:rFonts w:ascii="標楷體" w:eastAsia="標楷體" w:hAnsi="標楷體"/>
          <w:kern w:val="0"/>
          <w:sz w:val="32"/>
          <w:szCs w:val="32"/>
        </w:rPr>
      </w:pPr>
      <w:r w:rsidRPr="00C837F6">
        <w:rPr>
          <w:rFonts w:eastAsia="標楷體" w:hAnsi="標楷體" w:hint="eastAsia"/>
          <w:sz w:val="32"/>
          <w:szCs w:val="32"/>
        </w:rPr>
        <w:t>本會開會時，得請證人、現場處理人員、其他有關機關人員或專家學者列席提供意見。</w:t>
      </w:r>
    </w:p>
    <w:p w:rsidR="006611BA" w:rsidRPr="00C837F6" w:rsidRDefault="006611BA" w:rsidP="008421F2">
      <w:pPr>
        <w:pStyle w:val="a3"/>
        <w:numPr>
          <w:ilvl w:val="0"/>
          <w:numId w:val="17"/>
        </w:numPr>
        <w:spacing w:beforeLines="50" w:before="120" w:line="520" w:lineRule="exact"/>
        <w:ind w:leftChars="0" w:left="629" w:hanging="629"/>
        <w:rPr>
          <w:rFonts w:ascii="標楷體" w:eastAsia="標楷體" w:hAnsi="標楷體"/>
          <w:kern w:val="0"/>
          <w:sz w:val="32"/>
          <w:szCs w:val="32"/>
        </w:rPr>
      </w:pPr>
      <w:r w:rsidRPr="00C837F6">
        <w:rPr>
          <w:rFonts w:eastAsia="標楷體" w:hAnsi="標楷體"/>
          <w:sz w:val="32"/>
          <w:szCs w:val="32"/>
        </w:rPr>
        <w:t>本會委員應親自出席會議，不得委任他人代理；委員不能出席會議時，應事先通知本會。</w:t>
      </w:r>
    </w:p>
    <w:p w:rsidR="006611BA" w:rsidRPr="00C837F6" w:rsidRDefault="006611BA" w:rsidP="008421F2">
      <w:pPr>
        <w:pStyle w:val="a3"/>
        <w:numPr>
          <w:ilvl w:val="0"/>
          <w:numId w:val="17"/>
        </w:numPr>
        <w:spacing w:beforeLines="50" w:before="120" w:line="520" w:lineRule="exact"/>
        <w:ind w:leftChars="0" w:left="658" w:hanging="658"/>
        <w:rPr>
          <w:rFonts w:ascii="標楷體" w:eastAsia="標楷體" w:hAnsi="標楷體"/>
          <w:kern w:val="0"/>
          <w:sz w:val="32"/>
          <w:szCs w:val="32"/>
        </w:rPr>
      </w:pPr>
      <w:r w:rsidRPr="00C837F6">
        <w:rPr>
          <w:rFonts w:eastAsia="標楷體" w:hAnsi="標楷體" w:hint="eastAsia"/>
          <w:sz w:val="32"/>
          <w:szCs w:val="32"/>
        </w:rPr>
        <w:t>本會委員</w:t>
      </w:r>
      <w:proofErr w:type="gramStart"/>
      <w:r w:rsidRPr="00C837F6">
        <w:rPr>
          <w:rFonts w:eastAsia="標楷體" w:hAnsi="標楷體" w:hint="eastAsia"/>
          <w:sz w:val="32"/>
          <w:szCs w:val="32"/>
        </w:rPr>
        <w:t>如遇應依</w:t>
      </w:r>
      <w:proofErr w:type="gramEnd"/>
      <w:r w:rsidRPr="00C837F6">
        <w:rPr>
          <w:rFonts w:eastAsia="標楷體" w:hAnsi="標楷體" w:hint="eastAsia"/>
          <w:sz w:val="32"/>
          <w:szCs w:val="32"/>
        </w:rPr>
        <w:t>規定迴避之案件，應依車輛行車事故鑑定及覆議作業辦法之規定，不得參與該案之鑑定。</w:t>
      </w:r>
    </w:p>
    <w:p w:rsidR="006611BA" w:rsidRPr="00C837F6" w:rsidRDefault="006611BA" w:rsidP="008421F2">
      <w:pPr>
        <w:pStyle w:val="a3"/>
        <w:numPr>
          <w:ilvl w:val="0"/>
          <w:numId w:val="17"/>
        </w:numPr>
        <w:spacing w:beforeLines="50" w:before="120" w:line="520" w:lineRule="exact"/>
        <w:ind w:leftChars="0" w:left="482" w:hanging="482"/>
        <w:rPr>
          <w:rFonts w:ascii="標楷體" w:eastAsia="標楷體" w:hAnsi="標楷體"/>
          <w:kern w:val="0"/>
          <w:sz w:val="32"/>
          <w:szCs w:val="32"/>
        </w:rPr>
      </w:pPr>
      <w:r w:rsidRPr="00C837F6">
        <w:rPr>
          <w:rFonts w:eastAsia="標楷體" w:hAnsi="標楷體"/>
          <w:sz w:val="32"/>
          <w:szCs w:val="32"/>
        </w:rPr>
        <w:t>本會委員及兼任</w:t>
      </w:r>
      <w:proofErr w:type="gramStart"/>
      <w:r w:rsidRPr="00C837F6">
        <w:rPr>
          <w:rFonts w:eastAsia="標楷體" w:hAnsi="標楷體"/>
          <w:sz w:val="32"/>
          <w:szCs w:val="32"/>
        </w:rPr>
        <w:t>人員均為無</w:t>
      </w:r>
      <w:proofErr w:type="gramEnd"/>
      <w:r w:rsidRPr="00C837F6">
        <w:rPr>
          <w:rFonts w:eastAsia="標楷體" w:hAnsi="標楷體"/>
          <w:sz w:val="32"/>
          <w:szCs w:val="32"/>
        </w:rPr>
        <w:t>給職。</w:t>
      </w:r>
    </w:p>
    <w:p w:rsidR="002E053F" w:rsidRPr="008421F2" w:rsidRDefault="006611BA" w:rsidP="00DF7291">
      <w:pPr>
        <w:pStyle w:val="a3"/>
        <w:numPr>
          <w:ilvl w:val="0"/>
          <w:numId w:val="17"/>
        </w:numPr>
        <w:spacing w:beforeLines="50" w:before="120" w:line="520" w:lineRule="exact"/>
        <w:ind w:leftChars="0" w:left="482" w:hanging="482"/>
        <w:rPr>
          <w:sz w:val="32"/>
          <w:szCs w:val="32"/>
        </w:rPr>
      </w:pPr>
      <w:r w:rsidRPr="008421F2">
        <w:rPr>
          <w:rFonts w:eastAsia="標楷體"/>
          <w:sz w:val="32"/>
          <w:szCs w:val="32"/>
        </w:rPr>
        <w:t>本會所需之經費，由</w:t>
      </w:r>
      <w:r w:rsidRPr="008421F2">
        <w:rPr>
          <w:rFonts w:eastAsia="標楷體" w:hint="eastAsia"/>
          <w:sz w:val="32"/>
          <w:szCs w:val="32"/>
        </w:rPr>
        <w:t>本府交通局</w:t>
      </w:r>
      <w:r w:rsidRPr="008421F2">
        <w:rPr>
          <w:rFonts w:eastAsia="標楷體"/>
          <w:sz w:val="32"/>
          <w:szCs w:val="32"/>
        </w:rPr>
        <w:t>年度相關預算支應。</w:t>
      </w:r>
    </w:p>
    <w:sectPr w:rsidR="002E053F" w:rsidRPr="008421F2" w:rsidSect="00DF7291">
      <w:pgSz w:w="11906" w:h="16838" w:code="9"/>
      <w:pgMar w:top="1134" w:right="1134" w:bottom="113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97CE4"/>
    <w:multiLevelType w:val="hybridMultilevel"/>
    <w:tmpl w:val="2C2AAF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810D2D"/>
    <w:multiLevelType w:val="hybridMultilevel"/>
    <w:tmpl w:val="44B684B8"/>
    <w:lvl w:ilvl="0" w:tplc="0B74AB78">
      <w:start w:val="1"/>
      <w:numFmt w:val="taiwaneseCountingThousand"/>
      <w:lvlText w:val="(%1)"/>
      <w:lvlJc w:val="left"/>
      <w:pPr>
        <w:ind w:left="480" w:hanging="480"/>
      </w:pPr>
      <w:rPr>
        <w:rFonts w:hint="eastAsia"/>
        <w:color w:val="auto"/>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BE1C62"/>
    <w:multiLevelType w:val="hybridMultilevel"/>
    <w:tmpl w:val="22A0D74A"/>
    <w:lvl w:ilvl="0" w:tplc="2C4472C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3C5637"/>
    <w:multiLevelType w:val="hybridMultilevel"/>
    <w:tmpl w:val="B178F4FE"/>
    <w:lvl w:ilvl="0" w:tplc="286AD598">
      <w:start w:val="1"/>
      <w:numFmt w:val="taiwaneseCountingThousand"/>
      <w:lvlText w:val="%1、"/>
      <w:lvlJc w:val="left"/>
      <w:pPr>
        <w:ind w:left="480" w:hanging="480"/>
      </w:pPr>
      <w:rPr>
        <w:rFonts w:eastAsiaTheme="minorEastAsia" w:hAnsiTheme="minorHAnsi"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702740"/>
    <w:multiLevelType w:val="hybridMultilevel"/>
    <w:tmpl w:val="FD9E2788"/>
    <w:lvl w:ilvl="0" w:tplc="A24269D6">
      <w:start w:val="1"/>
      <w:numFmt w:val="taiwaneseCountingThousand"/>
      <w:lvlText w:val="%1、"/>
      <w:lvlJc w:val="left"/>
      <w:pPr>
        <w:ind w:left="480" w:hanging="480"/>
      </w:pPr>
      <w:rPr>
        <w:rFonts w:eastAsia="標楷體" w:hint="eastAsia"/>
        <w:color w:val="auto"/>
        <w:sz w:val="32"/>
      </w:rPr>
    </w:lvl>
    <w:lvl w:ilvl="1" w:tplc="0B74AB78">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0475E7"/>
    <w:multiLevelType w:val="hybridMultilevel"/>
    <w:tmpl w:val="D1E4C158"/>
    <w:lvl w:ilvl="0" w:tplc="0B74AB78">
      <w:start w:val="1"/>
      <w:numFmt w:val="taiwaneseCountingThousand"/>
      <w:lvlText w:val="(%1)"/>
      <w:lvlJc w:val="left"/>
      <w:pPr>
        <w:ind w:left="480" w:hanging="480"/>
      </w:pPr>
      <w:rPr>
        <w:rFonts w:hint="eastAsia"/>
        <w:color w:val="auto"/>
        <w:sz w:val="28"/>
      </w:rPr>
    </w:lvl>
    <w:lvl w:ilvl="1" w:tplc="0B74AB78">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350915"/>
    <w:multiLevelType w:val="hybridMultilevel"/>
    <w:tmpl w:val="56F42D50"/>
    <w:lvl w:ilvl="0" w:tplc="0B74AB78">
      <w:start w:val="1"/>
      <w:numFmt w:val="taiwaneseCountingThousand"/>
      <w:lvlText w:val="(%1)"/>
      <w:lvlJc w:val="left"/>
      <w:pPr>
        <w:ind w:left="480" w:hanging="480"/>
      </w:pPr>
      <w:rPr>
        <w:rFonts w:hint="eastAsia"/>
        <w:color w:val="auto"/>
        <w:sz w:val="28"/>
      </w:rPr>
    </w:lvl>
    <w:lvl w:ilvl="1" w:tplc="0B74AB78">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C9520B"/>
    <w:multiLevelType w:val="hybridMultilevel"/>
    <w:tmpl w:val="86E0DCE8"/>
    <w:lvl w:ilvl="0" w:tplc="4634A1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5404F6"/>
    <w:multiLevelType w:val="hybridMultilevel"/>
    <w:tmpl w:val="07349B22"/>
    <w:lvl w:ilvl="0" w:tplc="0E926C5C">
      <w:start w:val="1"/>
      <w:numFmt w:val="taiwaneseCountingThousand"/>
      <w:lvlText w:val="%1、"/>
      <w:lvlJc w:val="left"/>
      <w:pPr>
        <w:ind w:left="480" w:hanging="480"/>
      </w:pPr>
      <w:rPr>
        <w:rFonts w:eastAsia="標楷體" w:hint="eastAsia"/>
        <w:color w:val="auto"/>
        <w:sz w:val="28"/>
      </w:rPr>
    </w:lvl>
    <w:lvl w:ilvl="1" w:tplc="0B74AB78">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CF63A2"/>
    <w:multiLevelType w:val="hybridMultilevel"/>
    <w:tmpl w:val="0C9050E2"/>
    <w:lvl w:ilvl="0" w:tplc="0E926C5C">
      <w:start w:val="1"/>
      <w:numFmt w:val="taiwaneseCountingThousand"/>
      <w:lvlText w:val="%1、"/>
      <w:lvlJc w:val="left"/>
      <w:pPr>
        <w:ind w:left="480" w:hanging="480"/>
      </w:pPr>
      <w:rPr>
        <w:rFonts w:eastAsia="標楷體" w:hint="eastAsia"/>
        <w:color w:val="auto"/>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6E3CFC"/>
    <w:multiLevelType w:val="hybridMultilevel"/>
    <w:tmpl w:val="7BF601AC"/>
    <w:lvl w:ilvl="0" w:tplc="0B74AB78">
      <w:start w:val="1"/>
      <w:numFmt w:val="taiwaneseCountingThousand"/>
      <w:lvlText w:val="(%1)"/>
      <w:lvlJc w:val="left"/>
      <w:pPr>
        <w:ind w:left="480" w:hanging="480"/>
      </w:pPr>
      <w:rPr>
        <w:rFonts w:hint="eastAsia"/>
        <w:color w:val="auto"/>
        <w:sz w:val="28"/>
      </w:rPr>
    </w:lvl>
    <w:lvl w:ilvl="1" w:tplc="0B74AB78">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8E4E4E"/>
    <w:multiLevelType w:val="hybridMultilevel"/>
    <w:tmpl w:val="73E6CAAC"/>
    <w:lvl w:ilvl="0" w:tplc="0B74AB78">
      <w:start w:val="1"/>
      <w:numFmt w:val="taiwaneseCountingThousand"/>
      <w:lvlText w:val="(%1)"/>
      <w:lvlJc w:val="left"/>
      <w:pPr>
        <w:ind w:left="480" w:hanging="480"/>
      </w:pPr>
      <w:rPr>
        <w:rFonts w:hint="eastAsia"/>
        <w:color w:val="auto"/>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79158E"/>
    <w:multiLevelType w:val="hybridMultilevel"/>
    <w:tmpl w:val="30741D48"/>
    <w:lvl w:ilvl="0" w:tplc="A24269D6">
      <w:start w:val="1"/>
      <w:numFmt w:val="taiwaneseCountingThousand"/>
      <w:lvlText w:val="%1、"/>
      <w:lvlJc w:val="left"/>
      <w:pPr>
        <w:ind w:left="480" w:hanging="480"/>
      </w:pPr>
      <w:rPr>
        <w:rFonts w:eastAsia="標楷體" w:hint="eastAsia"/>
        <w:color w:val="auto"/>
        <w:sz w:val="32"/>
      </w:rPr>
    </w:lvl>
    <w:lvl w:ilvl="1" w:tplc="0B74AB78">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C73AB1"/>
    <w:multiLevelType w:val="hybridMultilevel"/>
    <w:tmpl w:val="A2B20196"/>
    <w:lvl w:ilvl="0" w:tplc="A24269D6">
      <w:start w:val="1"/>
      <w:numFmt w:val="taiwaneseCountingThousand"/>
      <w:lvlText w:val="%1、"/>
      <w:lvlJc w:val="left"/>
      <w:pPr>
        <w:ind w:left="480" w:hanging="480"/>
      </w:pPr>
      <w:rPr>
        <w:rFonts w:eastAsia="標楷體" w:hint="eastAsia"/>
        <w:color w:val="auto"/>
        <w:sz w:val="32"/>
      </w:rPr>
    </w:lvl>
    <w:lvl w:ilvl="1" w:tplc="0B74AB78">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031059"/>
    <w:multiLevelType w:val="hybridMultilevel"/>
    <w:tmpl w:val="AE86BDEC"/>
    <w:lvl w:ilvl="0" w:tplc="A24269D6">
      <w:start w:val="1"/>
      <w:numFmt w:val="taiwaneseCountingThousand"/>
      <w:lvlText w:val="%1、"/>
      <w:lvlJc w:val="left"/>
      <w:pPr>
        <w:ind w:left="480" w:hanging="480"/>
      </w:pPr>
      <w:rPr>
        <w:rFonts w:eastAsia="標楷體" w:hint="eastAsia"/>
        <w:color w:val="auto"/>
        <w:sz w:val="32"/>
      </w:rPr>
    </w:lvl>
    <w:lvl w:ilvl="1" w:tplc="0B74AB78">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B6945CD"/>
    <w:multiLevelType w:val="hybridMultilevel"/>
    <w:tmpl w:val="0832D4D4"/>
    <w:lvl w:ilvl="0" w:tplc="A24269D6">
      <w:start w:val="1"/>
      <w:numFmt w:val="taiwaneseCountingThousand"/>
      <w:lvlText w:val="%1、"/>
      <w:lvlJc w:val="left"/>
      <w:pPr>
        <w:ind w:left="480" w:hanging="480"/>
      </w:pPr>
      <w:rPr>
        <w:rFonts w:eastAsia="標楷體" w:hint="eastAsia"/>
        <w:color w:val="auto"/>
        <w:sz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EE65D6"/>
    <w:multiLevelType w:val="hybridMultilevel"/>
    <w:tmpl w:val="B726C5B6"/>
    <w:lvl w:ilvl="0" w:tplc="AA7CFD2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E193AC5"/>
    <w:multiLevelType w:val="hybridMultilevel"/>
    <w:tmpl w:val="C2AA9110"/>
    <w:lvl w:ilvl="0" w:tplc="0B74AB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637B73"/>
    <w:multiLevelType w:val="hybridMultilevel"/>
    <w:tmpl w:val="996C3CE0"/>
    <w:lvl w:ilvl="0" w:tplc="49AC988C">
      <w:start w:val="1"/>
      <w:numFmt w:val="taiwaneseCountingThousand"/>
      <w:lvlText w:val="%1、"/>
      <w:lvlJc w:val="left"/>
      <w:pPr>
        <w:ind w:left="480" w:hanging="480"/>
      </w:pPr>
      <w:rPr>
        <w:rFonts w:eastAsia="標楷體" w:hint="eastAsia"/>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E80B42"/>
    <w:multiLevelType w:val="hybridMultilevel"/>
    <w:tmpl w:val="3E36289A"/>
    <w:lvl w:ilvl="0" w:tplc="0B74AB78">
      <w:start w:val="1"/>
      <w:numFmt w:val="taiwaneseCountingThousand"/>
      <w:lvlText w:val="(%1)"/>
      <w:lvlJc w:val="left"/>
      <w:pPr>
        <w:ind w:left="480" w:hanging="480"/>
      </w:pPr>
      <w:rPr>
        <w:rFonts w:hint="eastAsia"/>
        <w:color w:val="auto"/>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AF97A5D"/>
    <w:multiLevelType w:val="hybridMultilevel"/>
    <w:tmpl w:val="0FDE30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8"/>
  </w:num>
  <w:num w:numId="3">
    <w:abstractNumId w:val="0"/>
  </w:num>
  <w:num w:numId="4">
    <w:abstractNumId w:val="17"/>
  </w:num>
  <w:num w:numId="5">
    <w:abstractNumId w:val="20"/>
  </w:num>
  <w:num w:numId="6">
    <w:abstractNumId w:val="16"/>
  </w:num>
  <w:num w:numId="7">
    <w:abstractNumId w:val="2"/>
  </w:num>
  <w:num w:numId="8">
    <w:abstractNumId w:val="7"/>
  </w:num>
  <w:num w:numId="9">
    <w:abstractNumId w:val="9"/>
  </w:num>
  <w:num w:numId="10">
    <w:abstractNumId w:val="8"/>
  </w:num>
  <w:num w:numId="11">
    <w:abstractNumId w:val="1"/>
  </w:num>
  <w:num w:numId="12">
    <w:abstractNumId w:val="19"/>
  </w:num>
  <w:num w:numId="13">
    <w:abstractNumId w:val="11"/>
  </w:num>
  <w:num w:numId="14">
    <w:abstractNumId w:val="10"/>
  </w:num>
  <w:num w:numId="15">
    <w:abstractNumId w:val="5"/>
  </w:num>
  <w:num w:numId="16">
    <w:abstractNumId w:val="6"/>
  </w:num>
  <w:num w:numId="17">
    <w:abstractNumId w:val="15"/>
  </w:num>
  <w:num w:numId="18">
    <w:abstractNumId w:val="12"/>
  </w:num>
  <w:num w:numId="19">
    <w:abstractNumId w:val="14"/>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5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53F"/>
    <w:rsid w:val="00071507"/>
    <w:rsid w:val="002E053F"/>
    <w:rsid w:val="006611BA"/>
    <w:rsid w:val="00693DDF"/>
    <w:rsid w:val="00726ACA"/>
    <w:rsid w:val="008421F2"/>
    <w:rsid w:val="00913B6B"/>
    <w:rsid w:val="00C30BC7"/>
    <w:rsid w:val="00C837F6"/>
    <w:rsid w:val="00CE2691"/>
    <w:rsid w:val="00DF7291"/>
    <w:rsid w:val="00E0133A"/>
    <w:rsid w:val="00E54CCE"/>
    <w:rsid w:val="00FB49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96D418-0FD0-452B-A1F3-5F3ADEED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53F"/>
    <w:pPr>
      <w:ind w:leftChars="200" w:left="480"/>
    </w:pPr>
  </w:style>
  <w:style w:type="table" w:styleId="a4">
    <w:name w:val="Table Grid"/>
    <w:basedOn w:val="a1"/>
    <w:rsid w:val="002E053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施人維</dc:creator>
  <cp:lastModifiedBy>陳薇傛</cp:lastModifiedBy>
  <cp:revision>2</cp:revision>
  <dcterms:created xsi:type="dcterms:W3CDTF">2015-12-16T03:40:00Z</dcterms:created>
  <dcterms:modified xsi:type="dcterms:W3CDTF">2015-12-16T03:40:00Z</dcterms:modified>
</cp:coreProperties>
</file>